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686E76F6" w14:textId="2344EB7D" w:rsidR="009216A4" w:rsidRPr="009216A4" w:rsidRDefault="009216A4" w:rsidP="009216A4">
      <w:pPr>
        <w:tabs>
          <w:tab w:val="center" w:pos="4536"/>
          <w:tab w:val="right" w:pos="7938"/>
          <w:tab w:val="right" w:pos="9639"/>
        </w:tabs>
        <w:overflowPunct/>
        <w:autoSpaceDE/>
        <w:autoSpaceDN/>
        <w:adjustRightInd/>
        <w:spacing w:after="0"/>
        <w:ind w:right="2"/>
        <w:textAlignment w:val="auto"/>
        <w:rPr>
          <w:rFonts w:ascii="Arial" w:eastAsia="MS Gothic" w:hAnsi="Arial" w:cs="Arial"/>
          <w:b/>
          <w:bCs/>
          <w:sz w:val="28"/>
          <w:lang w:val="en-GB" w:eastAsia="ja-JP"/>
        </w:rPr>
      </w:pPr>
      <w:bookmarkStart w:id="0" w:name="_Hlk1045022"/>
      <w:r w:rsidRPr="009216A4">
        <w:rPr>
          <w:rFonts w:ascii="Arial" w:eastAsia="MS Gothic" w:hAnsi="Arial" w:cs="Arial"/>
          <w:b/>
          <w:bCs/>
          <w:sz w:val="28"/>
          <w:lang w:val="en-GB" w:eastAsia="ja-JP"/>
        </w:rPr>
        <w:t>3GPP TSG RAN WG1 #115</w:t>
      </w:r>
      <w:r w:rsidRPr="009216A4">
        <w:rPr>
          <w:rFonts w:ascii="Arial" w:eastAsia="MS Gothic" w:hAnsi="Arial" w:cs="Arial"/>
          <w:b/>
          <w:bCs/>
          <w:sz w:val="28"/>
          <w:lang w:val="en-GB" w:eastAsia="ja-JP"/>
        </w:rPr>
        <w:tab/>
      </w:r>
      <w:r w:rsidRPr="009216A4">
        <w:rPr>
          <w:rFonts w:ascii="Arial" w:eastAsia="MS Gothic" w:hAnsi="Arial" w:cs="Arial"/>
          <w:b/>
          <w:bCs/>
          <w:sz w:val="28"/>
          <w:lang w:val="en-GB" w:eastAsia="ja-JP"/>
        </w:rPr>
        <w:tab/>
      </w:r>
      <w:r w:rsidRPr="009216A4">
        <w:rPr>
          <w:rFonts w:ascii="Arial" w:eastAsia="MS Gothic" w:hAnsi="Arial" w:cs="Arial"/>
          <w:b/>
          <w:bCs/>
          <w:sz w:val="28"/>
          <w:lang w:val="en-GB" w:eastAsia="ja-JP"/>
        </w:rPr>
        <w:tab/>
      </w:r>
      <w:r w:rsidR="00870112" w:rsidRPr="00870112">
        <w:rPr>
          <w:rFonts w:ascii="Arial" w:eastAsia="MS Gothic" w:hAnsi="Arial" w:cs="Arial"/>
          <w:b/>
          <w:bCs/>
          <w:sz w:val="28"/>
          <w:lang w:val="en-GB" w:eastAsia="ja-JP"/>
        </w:rPr>
        <w:t>R1-2312026</w:t>
      </w:r>
    </w:p>
    <w:p w14:paraId="70D69EA5" w14:textId="77777777" w:rsidR="009216A4" w:rsidRPr="009216A4" w:rsidRDefault="009216A4" w:rsidP="009216A4">
      <w:pPr>
        <w:tabs>
          <w:tab w:val="center" w:pos="4536"/>
          <w:tab w:val="right" w:pos="9072"/>
        </w:tabs>
        <w:overflowPunct/>
        <w:autoSpaceDE/>
        <w:autoSpaceDN/>
        <w:adjustRightInd/>
        <w:spacing w:after="0" w:line="276" w:lineRule="auto"/>
        <w:textAlignment w:val="auto"/>
        <w:rPr>
          <w:rFonts w:ascii="Arial" w:eastAsia="Malgun Gothic" w:hAnsi="Arial" w:cs="Arial"/>
          <w:b/>
          <w:bCs/>
          <w:sz w:val="24"/>
          <w:lang w:val="de-DE"/>
        </w:rPr>
      </w:pPr>
      <w:r w:rsidRPr="009216A4">
        <w:rPr>
          <w:rFonts w:ascii="Arial" w:eastAsia="MS Mincho" w:hAnsi="Arial" w:cs="Arial"/>
          <w:b/>
          <w:bCs/>
          <w:sz w:val="28"/>
          <w:lang w:val="en-GB" w:eastAsia="ja-JP"/>
        </w:rPr>
        <w:t>Chicago, USA, November 13</w:t>
      </w:r>
      <w:r w:rsidRPr="009216A4">
        <w:rPr>
          <w:rFonts w:ascii="Malgun Gothic" w:eastAsia="Malgun Gothic" w:hAnsi="Malgun Gothic" w:cs="Malgun Gothic" w:hint="eastAsia"/>
          <w:b/>
          <w:bCs/>
          <w:sz w:val="28"/>
          <w:vertAlign w:val="superscript"/>
          <w:lang w:val="en-GB" w:eastAsia="ko-KR"/>
        </w:rPr>
        <w:t>th</w:t>
      </w:r>
      <w:r w:rsidRPr="009216A4">
        <w:rPr>
          <w:rFonts w:ascii="Arial" w:eastAsia="MS Mincho" w:hAnsi="Arial" w:cs="Arial"/>
          <w:b/>
          <w:bCs/>
          <w:sz w:val="28"/>
          <w:lang w:val="en-GB" w:eastAsia="ja-JP"/>
        </w:rPr>
        <w:t xml:space="preserve"> </w:t>
      </w:r>
      <w:r w:rsidRPr="009216A4">
        <w:rPr>
          <w:rFonts w:ascii="Arial" w:eastAsia="MS Gothic" w:hAnsi="Arial" w:cs="Arial"/>
          <w:b/>
          <w:bCs/>
          <w:sz w:val="28"/>
          <w:lang w:val="en-GB" w:eastAsia="ja-JP"/>
        </w:rPr>
        <w:t>– November</w:t>
      </w:r>
      <w:r w:rsidRPr="009216A4">
        <w:rPr>
          <w:rFonts w:ascii="Arial" w:eastAsia="MS Mincho" w:hAnsi="Arial" w:cs="Arial"/>
          <w:b/>
          <w:bCs/>
          <w:sz w:val="28"/>
          <w:lang w:val="en-GB" w:eastAsia="ja-JP"/>
        </w:rPr>
        <w:t xml:space="preserve"> 17</w:t>
      </w:r>
      <w:r w:rsidRPr="009216A4">
        <w:rPr>
          <w:rFonts w:ascii="Arial" w:eastAsia="MS Mincho" w:hAnsi="Arial" w:cs="Arial"/>
          <w:b/>
          <w:bCs/>
          <w:sz w:val="28"/>
          <w:vertAlign w:val="superscript"/>
          <w:lang w:val="en-GB" w:eastAsia="ja-JP"/>
        </w:rPr>
        <w:t>th</w:t>
      </w:r>
      <w:r w:rsidRPr="009216A4">
        <w:rPr>
          <w:rFonts w:ascii="Arial" w:eastAsia="MS Mincho" w:hAnsi="Arial" w:cs="Arial"/>
          <w:b/>
          <w:bCs/>
          <w:sz w:val="28"/>
          <w:lang w:val="en-GB" w:eastAsia="ja-JP"/>
        </w:rPr>
        <w:t>, 2023</w:t>
      </w: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55588AB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177AAA">
        <w:rPr>
          <w:b/>
          <w:sz w:val="24"/>
        </w:rPr>
        <w:t>8</w:t>
      </w:r>
      <w:r w:rsidR="00AC21C1">
        <w:rPr>
          <w:b/>
          <w:sz w:val="24"/>
        </w:rPr>
        <w:t>.</w:t>
      </w:r>
      <w:r w:rsidR="00A87B70">
        <w:rPr>
          <w:b/>
          <w:sz w:val="24"/>
        </w:rPr>
        <w:t>1</w:t>
      </w:r>
      <w:r w:rsidR="001E5290">
        <w:rPr>
          <w:b/>
          <w:sz w:val="24"/>
        </w:rPr>
        <w:t>.</w:t>
      </w:r>
      <w:r w:rsidR="00EA6DCF">
        <w:rPr>
          <w:b/>
          <w:sz w:val="24"/>
        </w:rPr>
        <w:t>1</w:t>
      </w:r>
      <w:r w:rsidR="001E5290">
        <w:rPr>
          <w:b/>
          <w:sz w:val="24"/>
        </w:rPr>
        <w:t>.</w:t>
      </w:r>
      <w:r w:rsidR="00874844">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8A2EB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A6DCF" w:rsidRPr="00EA6DCF">
        <w:rPr>
          <w:sz w:val="24"/>
        </w:rPr>
        <w:t>Supporting two TAs for multi-DCI based mTRP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4DCF3EAA" w14:textId="53843DF0" w:rsidR="000B5675" w:rsidRDefault="000B5675" w:rsidP="005673DB">
      <w:pPr>
        <w:tabs>
          <w:tab w:val="num" w:pos="1800"/>
        </w:tabs>
        <w:jc w:val="both"/>
        <w:rPr>
          <w:bCs/>
          <w:sz w:val="22"/>
          <w:szCs w:val="22"/>
        </w:rPr>
      </w:pPr>
      <w:r>
        <w:rPr>
          <w:rFonts w:asciiTheme="majorBidi" w:hAnsiTheme="majorBidi" w:cstheme="majorBidi"/>
          <w:bCs/>
          <w:sz w:val="22"/>
          <w:szCs w:val="22"/>
        </w:rPr>
        <w:t>In this contribution, we discuss various remaining aspects related to</w:t>
      </w:r>
      <w:r w:rsidR="007B0CB0">
        <w:rPr>
          <w:rFonts w:asciiTheme="majorBidi" w:hAnsiTheme="majorBidi" w:cstheme="majorBidi"/>
          <w:bCs/>
          <w:sz w:val="22"/>
          <w:szCs w:val="22"/>
        </w:rPr>
        <w:t xml:space="preserve"> two TAs for multi-DCI based mTRP.</w:t>
      </w:r>
    </w:p>
    <w:p w14:paraId="01F6DA42" w14:textId="50051D93" w:rsidR="00327356" w:rsidRPr="00050A4C" w:rsidRDefault="00050A4C" w:rsidP="00050A4C">
      <w:pPr>
        <w:pStyle w:val="Heading1"/>
        <w:jc w:val="both"/>
        <w:rPr>
          <w:rFonts w:asciiTheme="majorBidi" w:hAnsiTheme="majorBidi" w:cstheme="majorBidi"/>
          <w:bCs/>
        </w:rPr>
      </w:pPr>
      <w:r>
        <w:rPr>
          <w:rFonts w:asciiTheme="majorBidi" w:hAnsiTheme="majorBidi" w:cstheme="majorBidi"/>
          <w:bCs/>
        </w:rPr>
        <w:t xml:space="preserve">Issue </w:t>
      </w:r>
      <w:r w:rsidR="00E61BB3">
        <w:rPr>
          <w:rFonts w:asciiTheme="majorBidi" w:hAnsiTheme="majorBidi" w:cstheme="majorBidi"/>
          <w:bCs/>
        </w:rPr>
        <w:t>1</w:t>
      </w:r>
      <w:r>
        <w:rPr>
          <w:rFonts w:asciiTheme="majorBidi" w:hAnsiTheme="majorBidi" w:cstheme="majorBidi"/>
          <w:bCs/>
        </w:rPr>
        <w:t xml:space="preserve">: </w:t>
      </w:r>
      <w:r w:rsidR="00E76E98">
        <w:rPr>
          <w:rFonts w:asciiTheme="majorBidi" w:hAnsiTheme="majorBidi" w:cstheme="majorBidi"/>
          <w:bCs/>
        </w:rPr>
        <w:t>Power control for c</w:t>
      </w:r>
      <w:r w:rsidR="00BC2F28">
        <w:rPr>
          <w:rFonts w:asciiTheme="majorBidi" w:hAnsiTheme="majorBidi" w:cstheme="majorBidi"/>
          <w:bCs/>
        </w:rPr>
        <w:t>ross-TRP PDCCH</w:t>
      </w:r>
      <w:r w:rsidR="00E76E98">
        <w:rPr>
          <w:rFonts w:asciiTheme="majorBidi" w:hAnsiTheme="majorBidi" w:cstheme="majorBidi"/>
          <w:bCs/>
        </w:rPr>
        <w:t xml:space="preserve"> order</w:t>
      </w:r>
      <w:r w:rsidR="00BC2F28">
        <w:rPr>
          <w:rFonts w:asciiTheme="majorBidi" w:hAnsiTheme="majorBidi" w:cstheme="majorBidi"/>
          <w:bCs/>
        </w:rPr>
        <w:t xml:space="preserve"> </w:t>
      </w:r>
      <w:r w:rsidR="00D242B1">
        <w:rPr>
          <w:rFonts w:asciiTheme="majorBidi" w:hAnsiTheme="majorBidi" w:cstheme="majorBidi"/>
          <w:bCs/>
        </w:rPr>
        <w:t xml:space="preserve"> </w:t>
      </w:r>
    </w:p>
    <w:p w14:paraId="3B4EEDD3" w14:textId="5E08890A" w:rsidR="004A0D9E" w:rsidRDefault="00E76E98" w:rsidP="00507112">
      <w:pPr>
        <w:spacing w:after="0"/>
        <w:jc w:val="both"/>
        <w:rPr>
          <w:rFonts w:asciiTheme="majorBidi" w:hAnsiTheme="majorBidi" w:cstheme="majorBidi"/>
          <w:bCs/>
          <w:iCs/>
          <w:sz w:val="22"/>
          <w:szCs w:val="22"/>
          <w:lang w:val="en-GB" w:eastAsia="ko-KR"/>
        </w:rPr>
      </w:pPr>
      <w:r w:rsidRPr="00E76E98">
        <w:rPr>
          <w:rFonts w:asciiTheme="majorBidi" w:hAnsiTheme="majorBidi" w:cstheme="majorBidi"/>
          <w:bCs/>
          <w:iCs/>
          <w:sz w:val="22"/>
          <w:szCs w:val="22"/>
          <w:lang w:val="en-GB" w:eastAsia="ko-KR"/>
        </w:rPr>
        <w:t>Cross-</w:t>
      </w:r>
      <w:r>
        <w:rPr>
          <w:rFonts w:asciiTheme="majorBidi" w:hAnsiTheme="majorBidi" w:cstheme="majorBidi"/>
          <w:bCs/>
          <w:iCs/>
          <w:sz w:val="22"/>
          <w:szCs w:val="22"/>
          <w:lang w:val="en-GB" w:eastAsia="ko-KR"/>
        </w:rPr>
        <w:t xml:space="preserve">TRP PDCCH order is agreed for </w:t>
      </w:r>
      <w:r w:rsidR="00787970">
        <w:rPr>
          <w:rFonts w:asciiTheme="majorBidi" w:hAnsiTheme="majorBidi" w:cstheme="majorBidi"/>
          <w:bCs/>
          <w:iCs/>
          <w:sz w:val="22"/>
          <w:szCs w:val="22"/>
          <w:lang w:val="en-GB" w:eastAsia="ko-KR"/>
        </w:rPr>
        <w:t xml:space="preserve">both </w:t>
      </w:r>
      <w:r>
        <w:rPr>
          <w:rFonts w:asciiTheme="majorBidi" w:hAnsiTheme="majorBidi" w:cstheme="majorBidi"/>
          <w:bCs/>
          <w:iCs/>
          <w:sz w:val="22"/>
          <w:szCs w:val="22"/>
          <w:lang w:val="en-GB" w:eastAsia="ko-KR"/>
        </w:rPr>
        <w:t xml:space="preserve">inter-cell </w:t>
      </w:r>
      <w:r w:rsidR="00787970">
        <w:rPr>
          <w:rFonts w:asciiTheme="majorBidi" w:hAnsiTheme="majorBidi" w:cstheme="majorBidi"/>
          <w:bCs/>
          <w:iCs/>
          <w:sz w:val="22"/>
          <w:szCs w:val="22"/>
          <w:lang w:val="en-GB" w:eastAsia="ko-KR"/>
        </w:rPr>
        <w:t xml:space="preserve">and intra-cell </w:t>
      </w:r>
      <w:r w:rsidR="00C36CB9">
        <w:rPr>
          <w:rFonts w:asciiTheme="majorBidi" w:hAnsiTheme="majorBidi" w:cstheme="majorBidi"/>
          <w:bCs/>
          <w:iCs/>
          <w:sz w:val="22"/>
          <w:szCs w:val="22"/>
          <w:lang w:val="en-GB" w:eastAsia="ko-KR"/>
        </w:rPr>
        <w:t xml:space="preserve">multi-DCI based multi-TRP, </w:t>
      </w:r>
      <w:r w:rsidR="006D0D3F">
        <w:rPr>
          <w:rFonts w:asciiTheme="majorBidi" w:hAnsiTheme="majorBidi" w:cstheme="majorBidi"/>
          <w:bCs/>
          <w:iCs/>
          <w:sz w:val="22"/>
          <w:szCs w:val="22"/>
          <w:lang w:val="en-GB" w:eastAsia="ko-KR"/>
        </w:rPr>
        <w:t>but no solution is agreed yet for PRACH power control</w:t>
      </w:r>
      <w:r w:rsidR="00013BC7">
        <w:rPr>
          <w:rFonts w:asciiTheme="majorBidi" w:hAnsiTheme="majorBidi" w:cstheme="majorBidi"/>
          <w:bCs/>
          <w:iCs/>
          <w:sz w:val="22"/>
          <w:szCs w:val="22"/>
          <w:lang w:val="en-GB" w:eastAsia="ko-KR"/>
        </w:rPr>
        <w:t>.</w:t>
      </w:r>
      <w:r w:rsidR="00C46F9D">
        <w:rPr>
          <w:rFonts w:asciiTheme="majorBidi" w:hAnsiTheme="majorBidi" w:cstheme="majorBidi"/>
          <w:bCs/>
          <w:iCs/>
          <w:sz w:val="22"/>
          <w:szCs w:val="22"/>
          <w:lang w:val="en-GB" w:eastAsia="ko-KR"/>
        </w:rPr>
        <w:t xml:space="preserve"> In legacy specification, </w:t>
      </w:r>
      <w:r w:rsidR="00904E09">
        <w:rPr>
          <w:rFonts w:asciiTheme="majorBidi" w:hAnsiTheme="majorBidi" w:cstheme="majorBidi"/>
          <w:bCs/>
          <w:iCs/>
          <w:sz w:val="22"/>
          <w:szCs w:val="22"/>
          <w:lang w:val="en-GB" w:eastAsia="ko-KR"/>
        </w:rPr>
        <w:t xml:space="preserve">for CFRA-based PDCCH order, </w:t>
      </w:r>
      <w:r w:rsidR="00904E09" w:rsidRPr="00904E09">
        <w:rPr>
          <w:rFonts w:asciiTheme="majorBidi" w:hAnsiTheme="majorBidi" w:cstheme="majorBidi"/>
          <w:bCs/>
          <w:iCs/>
          <w:sz w:val="22"/>
          <w:szCs w:val="22"/>
          <w:lang w:val="en-GB" w:eastAsia="ko-KR"/>
        </w:rPr>
        <w:t xml:space="preserve">PL-RS and </w:t>
      </w:r>
      <w:r w:rsidR="00904E09" w:rsidRPr="00904E09">
        <w:rPr>
          <w:rFonts w:asciiTheme="majorBidi" w:hAnsiTheme="majorBidi" w:cstheme="majorBidi"/>
          <w:bCs/>
          <w:i/>
          <w:sz w:val="22"/>
          <w:szCs w:val="22"/>
          <w:lang w:val="en-GB" w:eastAsia="ko-KR"/>
        </w:rPr>
        <w:t>referenceSignalPower</w:t>
      </w:r>
      <w:r w:rsidR="00904E09" w:rsidRPr="00904E09">
        <w:rPr>
          <w:rFonts w:asciiTheme="majorBidi" w:hAnsiTheme="majorBidi" w:cstheme="majorBidi"/>
          <w:bCs/>
          <w:iCs/>
          <w:sz w:val="22"/>
          <w:szCs w:val="22"/>
          <w:lang w:val="en-GB" w:eastAsia="ko-KR"/>
        </w:rPr>
        <w:t xml:space="preserve"> for PRACH power control are based on the DL-RS that the DMRS of PDCCH order is QCLed with</w:t>
      </w:r>
      <w:r w:rsidR="00507112">
        <w:rPr>
          <w:rFonts w:asciiTheme="majorBidi" w:hAnsiTheme="majorBidi" w:cstheme="majorBidi"/>
          <w:bCs/>
          <w:iCs/>
          <w:sz w:val="22"/>
          <w:szCs w:val="22"/>
          <w:lang w:val="en-GB" w:eastAsia="ko-KR"/>
        </w:rPr>
        <w:t xml:space="preserve">. </w:t>
      </w:r>
      <w:r w:rsidR="00AC3E26">
        <w:rPr>
          <w:rFonts w:asciiTheme="majorBidi" w:hAnsiTheme="majorBidi" w:cstheme="majorBidi"/>
          <w:bCs/>
          <w:iCs/>
          <w:sz w:val="22"/>
          <w:szCs w:val="22"/>
          <w:lang w:val="en-GB" w:eastAsia="ko-KR"/>
        </w:rPr>
        <w:t>Given that</w:t>
      </w:r>
      <w:r w:rsidR="00507112">
        <w:rPr>
          <w:rFonts w:asciiTheme="majorBidi" w:hAnsiTheme="majorBidi" w:cstheme="majorBidi"/>
          <w:bCs/>
          <w:iCs/>
          <w:sz w:val="22"/>
          <w:szCs w:val="22"/>
          <w:lang w:val="en-GB" w:eastAsia="ko-KR"/>
        </w:rPr>
        <w:t xml:space="preserve"> this legacy rule is not applicable to cross-TRP PDCCH order</w:t>
      </w:r>
      <w:r w:rsidR="009411FB">
        <w:rPr>
          <w:rFonts w:asciiTheme="majorBidi" w:hAnsiTheme="majorBidi" w:cstheme="majorBidi"/>
          <w:bCs/>
          <w:iCs/>
          <w:sz w:val="22"/>
          <w:szCs w:val="22"/>
          <w:lang w:val="en-GB" w:eastAsia="ko-KR"/>
        </w:rPr>
        <w:t>, without a solution for PRACH power control, cross-TRP PDCCH order is also not supported.</w:t>
      </w:r>
    </w:p>
    <w:p w14:paraId="2CF32F8E" w14:textId="77777777" w:rsidR="00507112" w:rsidRPr="00507112" w:rsidRDefault="00507112" w:rsidP="00507112">
      <w:pPr>
        <w:spacing w:after="0"/>
        <w:jc w:val="both"/>
        <w:rPr>
          <w:rFonts w:asciiTheme="majorBidi" w:hAnsiTheme="majorBidi" w:cstheme="majorBidi"/>
          <w:bCs/>
          <w:iCs/>
          <w:sz w:val="22"/>
          <w:szCs w:val="22"/>
          <w:lang w:val="en-GB" w:eastAsia="ko-KR"/>
        </w:rPr>
      </w:pPr>
    </w:p>
    <w:p w14:paraId="594EDA56" w14:textId="37E870CB" w:rsidR="008B7715" w:rsidRDefault="00AC0B0A"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Note that for CFRA-based PDCCH order, </w:t>
      </w:r>
      <w:r w:rsidR="003B6E88">
        <w:rPr>
          <w:rFonts w:asciiTheme="majorBidi" w:hAnsiTheme="majorBidi" w:cstheme="majorBidi"/>
          <w:bCs/>
          <w:iCs/>
          <w:sz w:val="22"/>
          <w:szCs w:val="22"/>
          <w:lang w:val="en-GB"/>
        </w:rPr>
        <w:t xml:space="preserve">UE does not measure the indicated SSB </w:t>
      </w:r>
      <w:r w:rsidR="00C404B1">
        <w:rPr>
          <w:rFonts w:asciiTheme="majorBidi" w:hAnsiTheme="majorBidi" w:cstheme="majorBidi"/>
          <w:bCs/>
          <w:iCs/>
          <w:sz w:val="22"/>
          <w:szCs w:val="22"/>
          <w:lang w:val="en-GB"/>
        </w:rPr>
        <w:t>as a result of</w:t>
      </w:r>
      <w:r w:rsidR="003B6E88">
        <w:rPr>
          <w:rFonts w:asciiTheme="majorBidi" w:hAnsiTheme="majorBidi" w:cstheme="majorBidi"/>
          <w:bCs/>
          <w:iCs/>
          <w:sz w:val="22"/>
          <w:szCs w:val="22"/>
          <w:lang w:val="en-GB"/>
        </w:rPr>
        <w:t xml:space="preserve"> PDCCH order</w:t>
      </w:r>
      <w:r w:rsidR="00C404B1">
        <w:rPr>
          <w:rFonts w:asciiTheme="majorBidi" w:hAnsiTheme="majorBidi" w:cstheme="majorBidi"/>
          <w:bCs/>
          <w:iCs/>
          <w:sz w:val="22"/>
          <w:szCs w:val="22"/>
          <w:lang w:val="en-GB"/>
        </w:rPr>
        <w:t xml:space="preserve"> (hence the </w:t>
      </w:r>
      <w:r w:rsidR="006204F8">
        <w:rPr>
          <w:rFonts w:asciiTheme="majorBidi" w:hAnsiTheme="majorBidi" w:cstheme="majorBidi"/>
          <w:bCs/>
          <w:iCs/>
          <w:sz w:val="22"/>
          <w:szCs w:val="22"/>
          <w:lang w:val="en-GB"/>
        </w:rPr>
        <w:t xml:space="preserve">reason </w:t>
      </w:r>
      <w:r w:rsidR="00286FB6">
        <w:rPr>
          <w:rFonts w:asciiTheme="majorBidi" w:hAnsiTheme="majorBidi" w:cstheme="majorBidi"/>
          <w:bCs/>
          <w:iCs/>
          <w:sz w:val="22"/>
          <w:szCs w:val="22"/>
          <w:lang w:val="en-GB"/>
        </w:rPr>
        <w:t>the legacy rule above</w:t>
      </w:r>
      <w:r w:rsidR="006204F8">
        <w:rPr>
          <w:rFonts w:asciiTheme="majorBidi" w:hAnsiTheme="majorBidi" w:cstheme="majorBidi"/>
          <w:bCs/>
          <w:iCs/>
          <w:sz w:val="22"/>
          <w:szCs w:val="22"/>
          <w:lang w:val="en-GB"/>
        </w:rPr>
        <w:t>)</w:t>
      </w:r>
      <w:r w:rsidR="00C404B1">
        <w:rPr>
          <w:rFonts w:asciiTheme="majorBidi" w:hAnsiTheme="majorBidi" w:cstheme="majorBidi"/>
          <w:bCs/>
          <w:iCs/>
          <w:sz w:val="22"/>
          <w:szCs w:val="22"/>
          <w:lang w:val="en-GB"/>
        </w:rPr>
        <w:t xml:space="preserve">. </w:t>
      </w:r>
      <w:r w:rsidR="00723C2E">
        <w:rPr>
          <w:rFonts w:asciiTheme="majorBidi" w:hAnsiTheme="majorBidi" w:cstheme="majorBidi"/>
          <w:bCs/>
          <w:iCs/>
          <w:sz w:val="22"/>
          <w:szCs w:val="22"/>
          <w:lang w:val="en-GB"/>
        </w:rPr>
        <w:t>In mTRP case, the UE already maintains an active beam toward that TRP. The purpose of PDCCH order CFRA is not to change the active beam, but only to acquire the TA for the existing working beam.</w:t>
      </w:r>
      <w:r w:rsidR="00D56649">
        <w:rPr>
          <w:rFonts w:asciiTheme="majorBidi" w:hAnsiTheme="majorBidi" w:cstheme="majorBidi"/>
          <w:bCs/>
          <w:iCs/>
          <w:sz w:val="22"/>
          <w:szCs w:val="22"/>
          <w:lang w:val="en-GB"/>
        </w:rPr>
        <w:t xml:space="preserve"> Multiple solutions have been discussed</w:t>
      </w:r>
      <w:r w:rsidR="00BF311B">
        <w:rPr>
          <w:rFonts w:asciiTheme="majorBidi" w:hAnsiTheme="majorBidi" w:cstheme="majorBidi"/>
          <w:bCs/>
          <w:iCs/>
          <w:sz w:val="22"/>
          <w:szCs w:val="22"/>
          <w:lang w:val="en-GB"/>
        </w:rPr>
        <w:t>/proposed</w:t>
      </w:r>
      <w:r w:rsidR="00D56649">
        <w:rPr>
          <w:rFonts w:asciiTheme="majorBidi" w:hAnsiTheme="majorBidi" w:cstheme="majorBidi"/>
          <w:bCs/>
          <w:iCs/>
          <w:sz w:val="22"/>
          <w:szCs w:val="22"/>
          <w:lang w:val="en-GB"/>
        </w:rPr>
        <w:t xml:space="preserve"> for power control</w:t>
      </w:r>
      <w:r w:rsidR="0015578A">
        <w:rPr>
          <w:rFonts w:asciiTheme="majorBidi" w:hAnsiTheme="majorBidi" w:cstheme="majorBidi"/>
          <w:bCs/>
          <w:iCs/>
          <w:sz w:val="22"/>
          <w:szCs w:val="22"/>
          <w:lang w:val="en-GB"/>
        </w:rPr>
        <w:t xml:space="preserve">. We </w:t>
      </w:r>
      <w:r w:rsidR="00DB4DB2">
        <w:rPr>
          <w:rFonts w:asciiTheme="majorBidi" w:hAnsiTheme="majorBidi" w:cstheme="majorBidi"/>
          <w:bCs/>
          <w:iCs/>
          <w:sz w:val="22"/>
          <w:szCs w:val="22"/>
          <w:lang w:val="en-GB"/>
        </w:rPr>
        <w:t>analysis these below:</w:t>
      </w:r>
    </w:p>
    <w:p w14:paraId="78053C49" w14:textId="123980DF" w:rsidR="00123FFC" w:rsidRPr="006D74F5" w:rsidRDefault="006D74F5" w:rsidP="006D74F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If the p</w:t>
      </w:r>
      <w:r w:rsidR="00D602C9" w:rsidRPr="006D74F5">
        <w:rPr>
          <w:rFonts w:asciiTheme="majorBidi" w:hAnsiTheme="majorBidi" w:cstheme="majorBidi"/>
          <w:bCs/>
          <w:iCs/>
          <w:sz w:val="22"/>
          <w:szCs w:val="22"/>
          <w:lang w:val="en-GB"/>
        </w:rPr>
        <w:t xml:space="preserve">ower control </w:t>
      </w:r>
      <w:r>
        <w:rPr>
          <w:rFonts w:asciiTheme="majorBidi" w:hAnsiTheme="majorBidi" w:cstheme="majorBidi"/>
          <w:bCs/>
          <w:iCs/>
          <w:sz w:val="22"/>
          <w:szCs w:val="22"/>
          <w:lang w:val="en-GB"/>
        </w:rPr>
        <w:t xml:space="preserve">is </w:t>
      </w:r>
      <w:r w:rsidR="00D602C9" w:rsidRPr="006D74F5">
        <w:rPr>
          <w:rFonts w:asciiTheme="majorBidi" w:hAnsiTheme="majorBidi" w:cstheme="majorBidi"/>
          <w:bCs/>
          <w:iCs/>
          <w:sz w:val="22"/>
          <w:szCs w:val="22"/>
          <w:lang w:val="en-GB"/>
        </w:rPr>
        <w:t>based</w:t>
      </w:r>
      <w:r w:rsidR="004D024D" w:rsidRPr="006D74F5">
        <w:rPr>
          <w:rFonts w:asciiTheme="majorBidi" w:hAnsiTheme="majorBidi" w:cstheme="majorBidi"/>
          <w:bCs/>
          <w:iCs/>
          <w:sz w:val="22"/>
          <w:szCs w:val="22"/>
          <w:lang w:val="en-GB"/>
        </w:rPr>
        <w:t xml:space="preserve"> on the indicated SSB in </w:t>
      </w:r>
      <w:r w:rsidR="00B4699A" w:rsidRPr="006D74F5">
        <w:rPr>
          <w:rFonts w:asciiTheme="majorBidi" w:hAnsiTheme="majorBidi" w:cstheme="majorBidi"/>
          <w:bCs/>
          <w:iCs/>
          <w:sz w:val="22"/>
          <w:szCs w:val="22"/>
          <w:lang w:val="en-GB"/>
        </w:rPr>
        <w:t>the PDCCH order DCI</w:t>
      </w:r>
      <w:r>
        <w:rPr>
          <w:rFonts w:asciiTheme="majorBidi" w:hAnsiTheme="majorBidi" w:cstheme="majorBidi"/>
          <w:bCs/>
          <w:iCs/>
          <w:sz w:val="22"/>
          <w:szCs w:val="22"/>
          <w:lang w:val="en-GB"/>
        </w:rPr>
        <w:t xml:space="preserve">, there are </w:t>
      </w:r>
      <w:r w:rsidR="00B4699A" w:rsidRPr="006D74F5">
        <w:rPr>
          <w:rFonts w:asciiTheme="majorBidi" w:hAnsiTheme="majorBidi" w:cstheme="majorBidi"/>
          <w:bCs/>
          <w:iCs/>
          <w:sz w:val="22"/>
          <w:szCs w:val="22"/>
          <w:lang w:val="en-GB"/>
        </w:rPr>
        <w:t>multiple drawbacks</w:t>
      </w:r>
      <w:r>
        <w:rPr>
          <w:rFonts w:asciiTheme="majorBidi" w:hAnsiTheme="majorBidi" w:cstheme="majorBidi"/>
          <w:bCs/>
          <w:iCs/>
          <w:sz w:val="22"/>
          <w:szCs w:val="22"/>
          <w:lang w:val="en-GB"/>
        </w:rPr>
        <w:t xml:space="preserve"> both in terms of network flexibility as well as UE complexity </w:t>
      </w:r>
      <w:r w:rsidR="00CD777C">
        <w:rPr>
          <w:rFonts w:asciiTheme="majorBidi" w:hAnsiTheme="majorBidi" w:cstheme="majorBidi"/>
          <w:bCs/>
          <w:iCs/>
          <w:sz w:val="22"/>
          <w:szCs w:val="22"/>
          <w:lang w:val="en-GB"/>
        </w:rPr>
        <w:t xml:space="preserve">as discussed in </w:t>
      </w:r>
      <w:r w:rsidR="00830448">
        <w:rPr>
          <w:rFonts w:asciiTheme="majorBidi" w:hAnsiTheme="majorBidi" w:cstheme="majorBidi"/>
          <w:bCs/>
          <w:iCs/>
          <w:sz w:val="22"/>
          <w:szCs w:val="22"/>
          <w:lang w:val="en-GB"/>
        </w:rPr>
        <w:t>detail</w:t>
      </w:r>
      <w:r w:rsidR="00CD777C">
        <w:rPr>
          <w:rFonts w:asciiTheme="majorBidi" w:hAnsiTheme="majorBidi" w:cstheme="majorBidi"/>
          <w:bCs/>
          <w:iCs/>
          <w:sz w:val="22"/>
          <w:szCs w:val="22"/>
          <w:lang w:val="en-GB"/>
        </w:rPr>
        <w:t xml:space="preserve"> below:</w:t>
      </w:r>
    </w:p>
    <w:p w14:paraId="5F86A8BF" w14:textId="287DBCCB" w:rsidR="004D024D" w:rsidRDefault="00DE1772" w:rsidP="006D74F5">
      <w:pPr>
        <w:pStyle w:val="ListParagraph"/>
        <w:numPr>
          <w:ilvl w:val="0"/>
          <w:numId w:val="19"/>
        </w:numPr>
        <w:jc w:val="both"/>
        <w:rPr>
          <w:rFonts w:asciiTheme="majorBidi" w:hAnsiTheme="majorBidi" w:cstheme="majorBidi"/>
          <w:bCs/>
          <w:iCs/>
          <w:lang w:val="en-GB"/>
        </w:rPr>
      </w:pPr>
      <w:r>
        <w:rPr>
          <w:rFonts w:asciiTheme="majorBidi" w:hAnsiTheme="majorBidi" w:cstheme="majorBidi"/>
          <w:bCs/>
          <w:iCs/>
          <w:lang w:val="en-GB"/>
        </w:rPr>
        <w:t xml:space="preserve">(1) </w:t>
      </w:r>
      <w:r w:rsidR="002D24CD">
        <w:rPr>
          <w:rFonts w:asciiTheme="majorBidi" w:hAnsiTheme="majorBidi" w:cstheme="majorBidi"/>
          <w:bCs/>
          <w:iCs/>
          <w:lang w:val="en-GB"/>
        </w:rPr>
        <w:t xml:space="preserve">The indicated SSB should be limited and cannot be any </w:t>
      </w:r>
      <w:r w:rsidR="00CD777C">
        <w:rPr>
          <w:rFonts w:asciiTheme="majorBidi" w:hAnsiTheme="majorBidi" w:cstheme="majorBidi"/>
          <w:bCs/>
          <w:iCs/>
          <w:lang w:val="en-GB"/>
        </w:rPr>
        <w:t>arbi</w:t>
      </w:r>
      <w:r w:rsidR="00830448">
        <w:rPr>
          <w:rFonts w:asciiTheme="majorBidi" w:hAnsiTheme="majorBidi" w:cstheme="majorBidi"/>
          <w:bCs/>
          <w:iCs/>
          <w:lang w:val="en-GB"/>
        </w:rPr>
        <w:t xml:space="preserve">trary </w:t>
      </w:r>
      <w:r w:rsidR="002D24CD">
        <w:rPr>
          <w:rFonts w:asciiTheme="majorBidi" w:hAnsiTheme="majorBidi" w:cstheme="majorBidi"/>
          <w:bCs/>
          <w:iCs/>
          <w:lang w:val="en-GB"/>
        </w:rPr>
        <w:t xml:space="preserve">SSB. </w:t>
      </w:r>
      <w:r w:rsidR="00006E7C">
        <w:rPr>
          <w:rFonts w:asciiTheme="majorBidi" w:hAnsiTheme="majorBidi" w:cstheme="majorBidi"/>
          <w:bCs/>
          <w:iCs/>
          <w:lang w:val="en-GB"/>
        </w:rPr>
        <w:t xml:space="preserve">At the very least, the SSB should be associated with </w:t>
      </w:r>
      <w:r w:rsidR="003D0245">
        <w:rPr>
          <w:rFonts w:asciiTheme="majorBidi" w:hAnsiTheme="majorBidi" w:cstheme="majorBidi"/>
          <w:bCs/>
          <w:iCs/>
          <w:lang w:val="en-GB"/>
        </w:rPr>
        <w:t>indicated / activated TCI states. Otherwise</w:t>
      </w:r>
      <w:r w:rsidR="00AD1A8F">
        <w:rPr>
          <w:rFonts w:asciiTheme="majorBidi" w:hAnsiTheme="majorBidi" w:cstheme="majorBidi"/>
          <w:bCs/>
          <w:iCs/>
          <w:lang w:val="en-GB"/>
        </w:rPr>
        <w:t xml:space="preserve">, additional switching delay would be needed. For example, see RAN4 spec </w:t>
      </w:r>
      <w:r w:rsidR="007E34C2">
        <w:rPr>
          <w:rFonts w:asciiTheme="majorBidi" w:hAnsiTheme="majorBidi" w:cstheme="majorBidi"/>
          <w:bCs/>
          <w:iCs/>
          <w:lang w:val="en-GB"/>
        </w:rPr>
        <w:t xml:space="preserve">38.133, Section </w:t>
      </w:r>
      <w:r w:rsidR="00C14002" w:rsidRPr="00C14002">
        <w:rPr>
          <w:rFonts w:asciiTheme="majorBidi" w:hAnsiTheme="majorBidi" w:cstheme="majorBidi"/>
          <w:bCs/>
          <w:iCs/>
          <w:lang w:val="en-GB"/>
        </w:rPr>
        <w:t>8.14.3</w:t>
      </w:r>
      <w:r w:rsidR="00F26F12">
        <w:rPr>
          <w:rFonts w:asciiTheme="majorBidi" w:hAnsiTheme="majorBidi" w:cstheme="majorBidi"/>
          <w:bCs/>
          <w:iCs/>
          <w:lang w:val="en-GB"/>
        </w:rPr>
        <w:t xml:space="preserve">, which defines that this additional delay is equal to 5 periodicities of SSB plus </w:t>
      </w:r>
      <w:r w:rsidR="00F365D7">
        <w:rPr>
          <w:rFonts w:asciiTheme="majorBidi" w:hAnsiTheme="majorBidi" w:cstheme="majorBidi"/>
          <w:bCs/>
          <w:iCs/>
          <w:lang w:val="en-GB"/>
        </w:rPr>
        <w:t>processing delay</w:t>
      </w:r>
      <w:r w:rsidR="00880978">
        <w:rPr>
          <w:rFonts w:asciiTheme="majorBidi" w:hAnsiTheme="majorBidi" w:cstheme="majorBidi"/>
          <w:bCs/>
          <w:iCs/>
          <w:lang w:val="en-GB"/>
        </w:rPr>
        <w:t xml:space="preserve"> (</w:t>
      </w:r>
      <w:r w:rsidR="00F365D7">
        <w:rPr>
          <w:rFonts w:asciiTheme="majorBidi" w:hAnsiTheme="majorBidi" w:cstheme="majorBidi"/>
          <w:bCs/>
          <w:iCs/>
          <w:lang w:val="en-GB"/>
        </w:rPr>
        <w:t>which can be very large</w:t>
      </w:r>
      <w:r w:rsidR="00880978">
        <w:rPr>
          <w:rFonts w:asciiTheme="majorBidi" w:hAnsiTheme="majorBidi" w:cstheme="majorBidi"/>
          <w:bCs/>
          <w:iCs/>
          <w:lang w:val="en-GB"/>
        </w:rPr>
        <w:t>)</w:t>
      </w:r>
      <w:r w:rsidR="003C70B9">
        <w:rPr>
          <w:rFonts w:asciiTheme="majorBidi" w:hAnsiTheme="majorBidi" w:cstheme="majorBidi"/>
          <w:bCs/>
          <w:iCs/>
          <w:lang w:val="en-GB"/>
        </w:rPr>
        <w:t xml:space="preserve"> even when </w:t>
      </w:r>
      <w:r w:rsidR="00880978">
        <w:rPr>
          <w:rFonts w:asciiTheme="majorBidi" w:hAnsiTheme="majorBidi" w:cstheme="majorBidi"/>
          <w:bCs/>
          <w:iCs/>
          <w:lang w:val="en-GB"/>
        </w:rPr>
        <w:t>the SSB is “known”</w:t>
      </w:r>
      <w:r w:rsidR="00F365D7">
        <w:rPr>
          <w:rFonts w:asciiTheme="majorBidi" w:hAnsiTheme="majorBidi" w:cstheme="majorBidi"/>
          <w:bCs/>
          <w:iCs/>
          <w:lang w:val="en-GB"/>
        </w:rPr>
        <w:t xml:space="preserve">. As another example, </w:t>
      </w:r>
      <w:r w:rsidR="005D6754">
        <w:rPr>
          <w:rFonts w:asciiTheme="majorBidi" w:hAnsiTheme="majorBidi" w:cstheme="majorBidi"/>
          <w:bCs/>
          <w:iCs/>
          <w:lang w:val="en-GB"/>
        </w:rPr>
        <w:t>additional delay (</w:t>
      </w:r>
      <w:r w:rsidR="002219DC" w:rsidRPr="002219DC">
        <w:rPr>
          <w:rFonts w:ascii="Times" w:hAnsi="Times"/>
          <w:lang w:val="en-GB" w:eastAsia="zh-CN"/>
        </w:rPr>
        <w:t>T</w:t>
      </w:r>
      <w:r w:rsidR="002219DC" w:rsidRPr="002219DC">
        <w:rPr>
          <w:rFonts w:ascii="Times" w:hAnsi="Times"/>
          <w:vertAlign w:val="subscript"/>
          <w:lang w:val="en-GB" w:eastAsia="zh-CN"/>
        </w:rPr>
        <w:t>SSB</w:t>
      </w:r>
      <w:r w:rsidR="002219DC">
        <w:rPr>
          <w:rFonts w:asciiTheme="majorBidi" w:hAnsiTheme="majorBidi" w:cstheme="majorBidi"/>
          <w:bCs/>
          <w:iCs/>
          <w:lang w:val="en-GB"/>
        </w:rPr>
        <w:t>) is defined for LTM</w:t>
      </w:r>
      <w:r w:rsidR="00EE15E9">
        <w:rPr>
          <w:rFonts w:asciiTheme="majorBidi" w:hAnsiTheme="majorBidi" w:cstheme="majorBidi"/>
          <w:bCs/>
          <w:iCs/>
          <w:lang w:val="en-GB"/>
        </w:rPr>
        <w:t xml:space="preserve"> when indicated SSB is not in the active TCI state list of a candidate cell before the </w:t>
      </w:r>
      <w:r w:rsidR="003B7257">
        <w:rPr>
          <w:rFonts w:asciiTheme="majorBidi" w:hAnsiTheme="majorBidi" w:cstheme="majorBidi"/>
          <w:bCs/>
          <w:iCs/>
          <w:lang w:val="en-GB"/>
        </w:rPr>
        <w:t>cell switch command</w:t>
      </w:r>
      <w:r w:rsidR="00911565">
        <w:rPr>
          <w:rFonts w:asciiTheme="majorBidi" w:hAnsiTheme="majorBidi" w:cstheme="majorBidi"/>
          <w:bCs/>
          <w:iCs/>
          <w:lang w:val="en-GB"/>
        </w:rPr>
        <w:t>, which is being discussed and finalized by RAN4.</w:t>
      </w:r>
    </w:p>
    <w:p w14:paraId="13CA3EDA" w14:textId="2F637FAD" w:rsidR="00FA446C" w:rsidRDefault="00FA446C" w:rsidP="006D74F5">
      <w:pPr>
        <w:pStyle w:val="ListParagraph"/>
        <w:numPr>
          <w:ilvl w:val="0"/>
          <w:numId w:val="19"/>
        </w:numPr>
        <w:jc w:val="both"/>
        <w:rPr>
          <w:rFonts w:asciiTheme="majorBidi" w:hAnsiTheme="majorBidi" w:cstheme="majorBidi"/>
          <w:bCs/>
          <w:iCs/>
          <w:lang w:val="en-GB"/>
        </w:rPr>
      </w:pPr>
      <w:r>
        <w:rPr>
          <w:rFonts w:asciiTheme="majorBidi" w:hAnsiTheme="majorBidi" w:cstheme="majorBidi"/>
          <w:bCs/>
          <w:iCs/>
          <w:lang w:val="en-GB"/>
        </w:rPr>
        <w:t xml:space="preserve">(2) The limitation / restriction discussed in (1) results in </w:t>
      </w:r>
      <w:r w:rsidR="00E2205D">
        <w:rPr>
          <w:rFonts w:asciiTheme="majorBidi" w:hAnsiTheme="majorBidi" w:cstheme="majorBidi"/>
          <w:bCs/>
          <w:iCs/>
          <w:lang w:val="en-GB"/>
        </w:rPr>
        <w:t xml:space="preserve">a restriction as to which SSB can be indicated by the PDCCH order DCI. This </w:t>
      </w:r>
      <w:r w:rsidR="002D106D">
        <w:rPr>
          <w:rFonts w:asciiTheme="majorBidi" w:hAnsiTheme="majorBidi" w:cstheme="majorBidi"/>
          <w:bCs/>
          <w:iCs/>
          <w:lang w:val="en-GB"/>
        </w:rPr>
        <w:t>restricts which RO can be used for the PRACH. Note that in legacy</w:t>
      </w:r>
      <w:r w:rsidR="00221470">
        <w:rPr>
          <w:rFonts w:asciiTheme="majorBidi" w:hAnsiTheme="majorBidi" w:cstheme="majorBidi"/>
          <w:bCs/>
          <w:iCs/>
          <w:lang w:val="en-GB"/>
        </w:rPr>
        <w:t xml:space="preserve"> CFRA based PDCCH order, </w:t>
      </w:r>
      <w:r w:rsidR="00397455" w:rsidRPr="00397455">
        <w:rPr>
          <w:rFonts w:asciiTheme="majorBidi" w:hAnsiTheme="majorBidi" w:cstheme="majorBidi"/>
          <w:bCs/>
          <w:iCs/>
          <w:lang w:val="en-GB"/>
        </w:rPr>
        <w:t>network is free to indicate any SSB in the PDCCH order DCI for RO determination</w:t>
      </w:r>
      <w:r w:rsidR="009F0ED4">
        <w:rPr>
          <w:rFonts w:asciiTheme="majorBidi" w:hAnsiTheme="majorBidi" w:cstheme="majorBidi"/>
          <w:bCs/>
          <w:iCs/>
          <w:lang w:val="en-GB"/>
        </w:rPr>
        <w:t>.</w:t>
      </w:r>
    </w:p>
    <w:p w14:paraId="1725E425" w14:textId="429E8515" w:rsidR="009F0ED4" w:rsidRPr="004D024D" w:rsidRDefault="009F0ED4" w:rsidP="006D74F5">
      <w:pPr>
        <w:pStyle w:val="ListParagraph"/>
        <w:numPr>
          <w:ilvl w:val="0"/>
          <w:numId w:val="19"/>
        </w:numPr>
        <w:jc w:val="both"/>
        <w:rPr>
          <w:rFonts w:asciiTheme="majorBidi" w:hAnsiTheme="majorBidi" w:cstheme="majorBidi"/>
          <w:bCs/>
          <w:iCs/>
          <w:lang w:val="en-GB"/>
        </w:rPr>
      </w:pPr>
      <w:r>
        <w:rPr>
          <w:rFonts w:asciiTheme="majorBidi" w:hAnsiTheme="majorBidi" w:cstheme="majorBidi"/>
          <w:bCs/>
          <w:iCs/>
          <w:lang w:val="en-GB"/>
        </w:rPr>
        <w:t xml:space="preserve">(3) </w:t>
      </w:r>
      <w:r w:rsidR="00846F79">
        <w:rPr>
          <w:rFonts w:asciiTheme="majorBidi" w:hAnsiTheme="majorBidi" w:cstheme="majorBidi"/>
          <w:bCs/>
          <w:iCs/>
          <w:lang w:val="en-GB"/>
        </w:rPr>
        <w:t xml:space="preserve">Even if we limit the indicated SSB </w:t>
      </w:r>
      <w:r w:rsidR="00FA4175">
        <w:rPr>
          <w:rFonts w:asciiTheme="majorBidi" w:hAnsiTheme="majorBidi" w:cstheme="majorBidi"/>
          <w:bCs/>
          <w:iCs/>
          <w:lang w:val="en-GB"/>
        </w:rPr>
        <w:t xml:space="preserve">in the PDCCH order DCI </w:t>
      </w:r>
      <w:r w:rsidR="00846F79">
        <w:rPr>
          <w:rFonts w:asciiTheme="majorBidi" w:hAnsiTheme="majorBidi" w:cstheme="majorBidi"/>
          <w:bCs/>
          <w:iCs/>
          <w:lang w:val="en-GB"/>
        </w:rPr>
        <w:t>to be associated with the indicated / activated TCI states, there is a</w:t>
      </w:r>
      <w:r w:rsidR="006D0E0A">
        <w:rPr>
          <w:rFonts w:asciiTheme="majorBidi" w:hAnsiTheme="majorBidi" w:cstheme="majorBidi"/>
          <w:bCs/>
          <w:iCs/>
          <w:lang w:val="en-GB"/>
        </w:rPr>
        <w:t>n additional</w:t>
      </w:r>
      <w:r w:rsidR="00846F79">
        <w:rPr>
          <w:rFonts w:asciiTheme="majorBidi" w:hAnsiTheme="majorBidi" w:cstheme="majorBidi"/>
          <w:bCs/>
          <w:iCs/>
          <w:lang w:val="en-GB"/>
        </w:rPr>
        <w:t xml:space="preserve"> UE complexity</w:t>
      </w:r>
      <w:r w:rsidR="0004545E">
        <w:rPr>
          <w:rFonts w:asciiTheme="majorBidi" w:hAnsiTheme="majorBidi" w:cstheme="majorBidi"/>
          <w:bCs/>
          <w:iCs/>
          <w:lang w:val="en-GB"/>
        </w:rPr>
        <w:t>. This is because the PL-RS associated with the indicated / activated TCI states may not be SSB</w:t>
      </w:r>
      <w:r w:rsidR="0014044C">
        <w:rPr>
          <w:rFonts w:asciiTheme="majorBidi" w:hAnsiTheme="majorBidi" w:cstheme="majorBidi"/>
          <w:bCs/>
          <w:iCs/>
          <w:lang w:val="en-GB"/>
        </w:rPr>
        <w:t>, and can be CSI-RS / TRS instead. This means that UE has to</w:t>
      </w:r>
      <w:r w:rsidR="004B7D63">
        <w:rPr>
          <w:rFonts w:asciiTheme="majorBidi" w:hAnsiTheme="majorBidi" w:cstheme="majorBidi"/>
          <w:bCs/>
          <w:iCs/>
          <w:lang w:val="en-GB"/>
        </w:rPr>
        <w:t xml:space="preserve"> now</w:t>
      </w:r>
      <w:r w:rsidR="0014044C">
        <w:rPr>
          <w:rFonts w:asciiTheme="majorBidi" w:hAnsiTheme="majorBidi" w:cstheme="majorBidi"/>
          <w:bCs/>
          <w:iCs/>
          <w:lang w:val="en-GB"/>
        </w:rPr>
        <w:t xml:space="preserve"> “maintain” </w:t>
      </w:r>
      <w:r w:rsidR="00761618">
        <w:rPr>
          <w:rFonts w:asciiTheme="majorBidi" w:hAnsiTheme="majorBidi" w:cstheme="majorBidi"/>
          <w:bCs/>
          <w:iCs/>
          <w:lang w:val="en-GB"/>
        </w:rPr>
        <w:t xml:space="preserve">some SSBs for the purpose of </w:t>
      </w:r>
      <w:r w:rsidR="00D9739F">
        <w:rPr>
          <w:rFonts w:asciiTheme="majorBidi" w:hAnsiTheme="majorBidi" w:cstheme="majorBidi"/>
          <w:bCs/>
          <w:iCs/>
          <w:lang w:val="en-GB"/>
        </w:rPr>
        <w:t xml:space="preserve">PRACH </w:t>
      </w:r>
      <w:r w:rsidR="00761618">
        <w:rPr>
          <w:rFonts w:asciiTheme="majorBidi" w:hAnsiTheme="majorBidi" w:cstheme="majorBidi"/>
          <w:bCs/>
          <w:iCs/>
          <w:lang w:val="en-GB"/>
        </w:rPr>
        <w:t xml:space="preserve">power control in addition to the PL-RS </w:t>
      </w:r>
      <w:r w:rsidR="004B7D63">
        <w:rPr>
          <w:rFonts w:asciiTheme="majorBidi" w:hAnsiTheme="majorBidi" w:cstheme="majorBidi"/>
          <w:bCs/>
          <w:iCs/>
          <w:lang w:val="en-GB"/>
        </w:rPr>
        <w:t xml:space="preserve">(CSI-RS) </w:t>
      </w:r>
      <w:r w:rsidR="00905A56">
        <w:rPr>
          <w:rFonts w:asciiTheme="majorBidi" w:hAnsiTheme="majorBidi" w:cstheme="majorBidi"/>
          <w:bCs/>
          <w:iCs/>
          <w:lang w:val="en-GB"/>
        </w:rPr>
        <w:t xml:space="preserve">associated with </w:t>
      </w:r>
      <w:r w:rsidR="00CD22CA">
        <w:rPr>
          <w:rFonts w:asciiTheme="majorBidi" w:hAnsiTheme="majorBidi" w:cstheme="majorBidi"/>
          <w:bCs/>
          <w:iCs/>
          <w:lang w:val="en-GB"/>
        </w:rPr>
        <w:t xml:space="preserve">active TCI states, which the UE maintains for </w:t>
      </w:r>
      <w:r w:rsidR="00FF1DBD">
        <w:rPr>
          <w:rFonts w:asciiTheme="majorBidi" w:hAnsiTheme="majorBidi" w:cstheme="majorBidi"/>
          <w:bCs/>
          <w:iCs/>
          <w:lang w:val="en-GB"/>
        </w:rPr>
        <w:t>PUSCH/PUCCH/SRS power control.</w:t>
      </w:r>
    </w:p>
    <w:p w14:paraId="38009FB4" w14:textId="1352AF76" w:rsidR="00BF311B" w:rsidRDefault="00BF311B" w:rsidP="00BD1876">
      <w:pPr>
        <w:jc w:val="both"/>
        <w:rPr>
          <w:rFonts w:asciiTheme="majorBidi" w:hAnsiTheme="majorBidi" w:cstheme="majorBidi"/>
          <w:bCs/>
          <w:iCs/>
          <w:sz w:val="22"/>
          <w:szCs w:val="22"/>
          <w:lang w:val="en-GB"/>
        </w:rPr>
      </w:pPr>
    </w:p>
    <w:p w14:paraId="6621FB43" w14:textId="5CF7514D" w:rsidR="00A030E9" w:rsidRDefault="00A030E9"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On the other hand, if the power control is based on </w:t>
      </w:r>
      <w:r w:rsidR="00431F9F">
        <w:rPr>
          <w:rFonts w:asciiTheme="majorBidi" w:hAnsiTheme="majorBidi" w:cstheme="majorBidi"/>
          <w:bCs/>
          <w:iCs/>
          <w:sz w:val="22"/>
          <w:szCs w:val="22"/>
          <w:lang w:val="en-GB"/>
        </w:rPr>
        <w:t>PL-RS associated with the first/second indicated TCI state</w:t>
      </w:r>
      <w:r w:rsidR="004D67C6">
        <w:rPr>
          <w:rFonts w:asciiTheme="majorBidi" w:hAnsiTheme="majorBidi" w:cstheme="majorBidi"/>
          <w:bCs/>
          <w:iCs/>
          <w:sz w:val="22"/>
          <w:szCs w:val="22"/>
          <w:lang w:val="en-GB"/>
        </w:rPr>
        <w:t xml:space="preserve">, all drawbacks above will be addressed: No restriction will be imposed on the network </w:t>
      </w:r>
      <w:r w:rsidR="00FA4E58">
        <w:rPr>
          <w:rFonts w:asciiTheme="majorBidi" w:hAnsiTheme="majorBidi" w:cstheme="majorBidi"/>
          <w:bCs/>
          <w:iCs/>
          <w:sz w:val="22"/>
          <w:szCs w:val="22"/>
          <w:lang w:val="en-GB"/>
        </w:rPr>
        <w:t xml:space="preserve">as to which </w:t>
      </w:r>
      <w:r w:rsidR="00D71F1D">
        <w:rPr>
          <w:rFonts w:asciiTheme="majorBidi" w:hAnsiTheme="majorBidi" w:cstheme="majorBidi"/>
          <w:bCs/>
          <w:iCs/>
          <w:sz w:val="22"/>
          <w:szCs w:val="22"/>
          <w:lang w:val="en-GB"/>
        </w:rPr>
        <w:t xml:space="preserve">SSB can be indicated in the PDCCH order DCI for RO determination, and UE complexity is not increased </w:t>
      </w:r>
      <w:r w:rsidR="00237B26">
        <w:rPr>
          <w:rFonts w:asciiTheme="majorBidi" w:hAnsiTheme="majorBidi" w:cstheme="majorBidi"/>
          <w:bCs/>
          <w:iCs/>
          <w:sz w:val="22"/>
          <w:szCs w:val="22"/>
          <w:lang w:val="en-GB"/>
        </w:rPr>
        <w:t>because the UE already maintains PL-RS associated with indicated / activated TCI states</w:t>
      </w:r>
      <w:r w:rsidR="00B14344">
        <w:rPr>
          <w:rFonts w:asciiTheme="majorBidi" w:hAnsiTheme="majorBidi" w:cstheme="majorBidi"/>
          <w:bCs/>
          <w:iCs/>
          <w:sz w:val="22"/>
          <w:szCs w:val="22"/>
          <w:lang w:val="en-GB"/>
        </w:rPr>
        <w:t>.</w:t>
      </w:r>
    </w:p>
    <w:p w14:paraId="142EC7E5" w14:textId="09E00BD1" w:rsidR="00025DED" w:rsidRPr="004C29AF" w:rsidRDefault="00403213" w:rsidP="004C29AF">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Given the above discussions, we do not see a technical justification for using the indicated SSB for PRACH power control.</w:t>
      </w:r>
      <w:r w:rsidR="00DC0ADD">
        <w:rPr>
          <w:rFonts w:asciiTheme="majorBidi" w:hAnsiTheme="majorBidi" w:cstheme="majorBidi"/>
          <w:bCs/>
          <w:iCs/>
          <w:sz w:val="22"/>
          <w:szCs w:val="22"/>
          <w:lang w:val="en-GB"/>
        </w:rPr>
        <w:t xml:space="preserve"> However, </w:t>
      </w:r>
      <w:r w:rsidR="00633966">
        <w:rPr>
          <w:rFonts w:asciiTheme="majorBidi" w:hAnsiTheme="majorBidi" w:cstheme="majorBidi"/>
          <w:bCs/>
          <w:iCs/>
          <w:sz w:val="22"/>
          <w:szCs w:val="22"/>
          <w:lang w:val="en-GB"/>
        </w:rPr>
        <w:t>if this direction becomes the only way</w:t>
      </w:r>
      <w:r w:rsidR="00FD3613">
        <w:rPr>
          <w:rFonts w:asciiTheme="majorBidi" w:hAnsiTheme="majorBidi" w:cstheme="majorBidi"/>
          <w:bCs/>
          <w:iCs/>
          <w:sz w:val="22"/>
          <w:szCs w:val="22"/>
          <w:lang w:val="en-GB"/>
        </w:rPr>
        <w:t xml:space="preserve"> forward</w:t>
      </w:r>
      <w:r w:rsidR="00633966">
        <w:rPr>
          <w:rFonts w:asciiTheme="majorBidi" w:hAnsiTheme="majorBidi" w:cstheme="majorBidi"/>
          <w:bCs/>
          <w:iCs/>
          <w:sz w:val="22"/>
          <w:szCs w:val="22"/>
          <w:lang w:val="en-GB"/>
        </w:rPr>
        <w:t xml:space="preserve">, we can be okay with a solution that restricts </w:t>
      </w:r>
      <w:r w:rsidR="001B03D3">
        <w:rPr>
          <w:rFonts w:asciiTheme="majorBidi" w:hAnsiTheme="majorBidi" w:cstheme="majorBidi"/>
          <w:bCs/>
          <w:iCs/>
          <w:sz w:val="22"/>
          <w:szCs w:val="22"/>
          <w:lang w:val="en-GB"/>
        </w:rPr>
        <w:t xml:space="preserve">the indicated SSB in the PDCCH order DCI to be associated with either the first or second </w:t>
      </w:r>
      <w:r w:rsidR="003552B7">
        <w:rPr>
          <w:rFonts w:asciiTheme="majorBidi" w:hAnsiTheme="majorBidi" w:cstheme="majorBidi"/>
          <w:bCs/>
          <w:iCs/>
          <w:sz w:val="22"/>
          <w:szCs w:val="22"/>
          <w:lang w:val="en-GB"/>
        </w:rPr>
        <w:t xml:space="preserve">indicated TCI state </w:t>
      </w:r>
      <w:r w:rsidR="001F1894">
        <w:rPr>
          <w:rFonts w:asciiTheme="majorBidi" w:hAnsiTheme="majorBidi" w:cstheme="majorBidi"/>
          <w:bCs/>
          <w:iCs/>
          <w:sz w:val="22"/>
          <w:szCs w:val="22"/>
          <w:lang w:val="en-GB"/>
        </w:rPr>
        <w:t>so that</w:t>
      </w:r>
      <w:r w:rsidR="003552B7">
        <w:rPr>
          <w:rFonts w:asciiTheme="majorBidi" w:hAnsiTheme="majorBidi" w:cstheme="majorBidi"/>
          <w:bCs/>
          <w:iCs/>
          <w:sz w:val="22"/>
          <w:szCs w:val="22"/>
          <w:lang w:val="en-GB"/>
        </w:rPr>
        <w:t xml:space="preserve"> at least the complexity concern described in (3) above </w:t>
      </w:r>
      <w:r w:rsidR="001F1894">
        <w:rPr>
          <w:rFonts w:asciiTheme="majorBidi" w:hAnsiTheme="majorBidi" w:cstheme="majorBidi"/>
          <w:bCs/>
          <w:iCs/>
          <w:sz w:val="22"/>
          <w:szCs w:val="22"/>
          <w:lang w:val="en-GB"/>
        </w:rPr>
        <w:t xml:space="preserve">is addressed to some extent </w:t>
      </w:r>
      <w:r w:rsidR="003552B7">
        <w:rPr>
          <w:rFonts w:asciiTheme="majorBidi" w:hAnsiTheme="majorBidi" w:cstheme="majorBidi"/>
          <w:bCs/>
          <w:iCs/>
          <w:sz w:val="22"/>
          <w:szCs w:val="22"/>
          <w:lang w:val="en-GB"/>
        </w:rPr>
        <w:t>such that UE does not have to “maintain” SSB for PRACH power control for all activated TCI states, and just maintains two additional SSBs</w:t>
      </w:r>
      <w:r>
        <w:rPr>
          <w:rFonts w:asciiTheme="majorBidi" w:hAnsiTheme="majorBidi" w:cstheme="majorBidi"/>
          <w:bCs/>
          <w:iCs/>
          <w:sz w:val="22"/>
          <w:szCs w:val="22"/>
          <w:lang w:val="en-GB"/>
        </w:rPr>
        <w:t xml:space="preserve"> </w:t>
      </w:r>
      <w:r w:rsidR="003552B7">
        <w:rPr>
          <w:rFonts w:asciiTheme="majorBidi" w:hAnsiTheme="majorBidi" w:cstheme="majorBidi"/>
          <w:bCs/>
          <w:iCs/>
          <w:sz w:val="22"/>
          <w:szCs w:val="22"/>
          <w:lang w:val="en-GB"/>
        </w:rPr>
        <w:t>associated with the indicated TCI states.</w:t>
      </w:r>
    </w:p>
    <w:p w14:paraId="5263FF77" w14:textId="4624E92F" w:rsidR="00D43183" w:rsidRDefault="00D43183" w:rsidP="00D43183">
      <w:pPr>
        <w:spacing w:after="0"/>
        <w:jc w:val="both"/>
        <w:rPr>
          <w:b/>
          <w:iCs/>
          <w:sz w:val="22"/>
          <w:szCs w:val="18"/>
          <w:lang w:val="en-GB" w:eastAsia="ko-KR"/>
        </w:rPr>
      </w:pPr>
      <w:r w:rsidRPr="00397CC1">
        <w:rPr>
          <w:rFonts w:eastAsia="Batang"/>
          <w:b/>
          <w:sz w:val="22"/>
          <w:szCs w:val="28"/>
          <w:u w:val="single"/>
          <w:lang w:val="en-GB"/>
        </w:rPr>
        <w:t xml:space="preserve">Proposal </w:t>
      </w:r>
      <w:r w:rsidR="004B1590">
        <w:rPr>
          <w:rFonts w:eastAsia="Batang"/>
          <w:b/>
          <w:sz w:val="22"/>
          <w:szCs w:val="28"/>
          <w:u w:val="single"/>
          <w:lang w:val="en-GB"/>
        </w:rPr>
        <w:t>1</w:t>
      </w:r>
      <w:r w:rsidRPr="00397CC1">
        <w:rPr>
          <w:b/>
          <w:iCs/>
          <w:sz w:val="22"/>
          <w:szCs w:val="18"/>
          <w:lang w:val="en-GB" w:eastAsia="ko-KR"/>
        </w:rPr>
        <w:t xml:space="preserve">: </w:t>
      </w:r>
      <w:r w:rsidR="003162DB">
        <w:rPr>
          <w:b/>
          <w:iCs/>
          <w:sz w:val="22"/>
          <w:szCs w:val="18"/>
          <w:lang w:val="en-GB" w:eastAsia="ko-KR"/>
        </w:rPr>
        <w:t>F</w:t>
      </w:r>
      <w:r w:rsidR="003162DB" w:rsidRPr="00210F2D">
        <w:rPr>
          <w:b/>
          <w:iCs/>
          <w:sz w:val="22"/>
          <w:szCs w:val="18"/>
          <w:lang w:val="en-GB" w:eastAsia="ko-KR"/>
        </w:rPr>
        <w:t>or multi-DCI based inter-cell multi-TRP and intra-cell multi-TRP operation with two TAGs configured in a CC</w:t>
      </w:r>
      <w:r w:rsidR="003162DB">
        <w:rPr>
          <w:b/>
          <w:iCs/>
          <w:sz w:val="22"/>
          <w:szCs w:val="18"/>
          <w:lang w:val="en-GB" w:eastAsia="ko-KR"/>
        </w:rPr>
        <w:t>,</w:t>
      </w:r>
      <w:r w:rsidR="003162DB" w:rsidRPr="00F67348">
        <w:rPr>
          <w:b/>
          <w:iCs/>
          <w:sz w:val="22"/>
          <w:szCs w:val="18"/>
          <w:lang w:val="en-GB" w:eastAsia="ko-KR"/>
        </w:rPr>
        <w:t xml:space="preserve"> </w:t>
      </w:r>
      <w:r w:rsidR="003162DB">
        <w:rPr>
          <w:b/>
          <w:iCs/>
          <w:sz w:val="22"/>
          <w:szCs w:val="18"/>
          <w:lang w:val="en-GB" w:eastAsia="ko-KR"/>
        </w:rPr>
        <w:t>w</w:t>
      </w:r>
      <w:r w:rsidR="00F67348" w:rsidRPr="00F67348">
        <w:rPr>
          <w:b/>
          <w:iCs/>
          <w:sz w:val="22"/>
          <w:szCs w:val="18"/>
          <w:lang w:val="en-GB" w:eastAsia="ko-KR"/>
        </w:rPr>
        <w:t>hen PRACH is transmitted towards a TRP that is different from the TRP that transmits PDCCH order</w:t>
      </w:r>
    </w:p>
    <w:p w14:paraId="0453BFEE" w14:textId="50E56F85" w:rsidR="00D43183" w:rsidRDefault="00921E20"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Alt1 (preferred): T</w:t>
      </w:r>
      <w:r w:rsidRPr="00921E20">
        <w:rPr>
          <w:rFonts w:ascii="Times New Roman" w:hAnsi="Times New Roman"/>
          <w:b/>
          <w:iCs/>
          <w:szCs w:val="18"/>
          <w:lang w:val="en-GB" w:eastAsia="ko-KR"/>
        </w:rPr>
        <w:t xml:space="preserve">he PL-RS for determining the transmit power of the triggered PRACH transmission is based on a PL-RS associated with </w:t>
      </w:r>
      <w:r w:rsidR="002D2F08">
        <w:rPr>
          <w:rFonts w:ascii="Times New Roman" w:hAnsi="Times New Roman"/>
          <w:b/>
          <w:iCs/>
          <w:szCs w:val="18"/>
          <w:lang w:val="en-GB" w:eastAsia="ko-KR"/>
        </w:rPr>
        <w:t>the</w:t>
      </w:r>
      <w:r w:rsidRPr="00921E20">
        <w:rPr>
          <w:rFonts w:ascii="Times New Roman" w:hAnsi="Times New Roman"/>
          <w:b/>
          <w:iCs/>
          <w:szCs w:val="18"/>
          <w:lang w:val="en-GB" w:eastAsia="ko-KR"/>
        </w:rPr>
        <w:t xml:space="preserve"> indicated TCI state </w:t>
      </w:r>
      <w:r w:rsidR="00912A81">
        <w:rPr>
          <w:rFonts w:ascii="Times New Roman" w:hAnsi="Times New Roman"/>
          <w:b/>
          <w:iCs/>
          <w:szCs w:val="18"/>
          <w:lang w:val="en-GB" w:eastAsia="ko-KR"/>
        </w:rPr>
        <w:t>for</w:t>
      </w:r>
      <w:r w:rsidRPr="00921E20">
        <w:rPr>
          <w:rFonts w:ascii="Times New Roman" w:hAnsi="Times New Roman"/>
          <w:b/>
          <w:iCs/>
          <w:szCs w:val="18"/>
          <w:lang w:val="en-GB" w:eastAsia="ko-KR"/>
        </w:rPr>
        <w:t xml:space="preserve"> the </w:t>
      </w:r>
      <w:r w:rsidRPr="002D2F08">
        <w:rPr>
          <w:rFonts w:ascii="Times New Roman" w:hAnsi="Times New Roman"/>
          <w:b/>
          <w:i/>
          <w:szCs w:val="18"/>
          <w:lang w:val="en-GB" w:eastAsia="ko-KR"/>
        </w:rPr>
        <w:t>coresetPoolIndex</w:t>
      </w:r>
      <w:r w:rsidRPr="00921E20">
        <w:rPr>
          <w:rFonts w:ascii="Times New Roman" w:hAnsi="Times New Roman"/>
          <w:b/>
          <w:iCs/>
          <w:szCs w:val="18"/>
          <w:lang w:val="en-GB" w:eastAsia="ko-KR"/>
        </w:rPr>
        <w:t xml:space="preserve"> value </w:t>
      </w:r>
      <w:r w:rsidR="0093101C">
        <w:rPr>
          <w:rFonts w:ascii="Times New Roman" w:hAnsi="Times New Roman"/>
          <w:b/>
          <w:iCs/>
          <w:szCs w:val="18"/>
          <w:lang w:val="en-GB" w:eastAsia="ko-KR"/>
        </w:rPr>
        <w:t>corresponding to</w:t>
      </w:r>
      <w:r w:rsidRPr="00921E20">
        <w:rPr>
          <w:rFonts w:ascii="Times New Roman" w:hAnsi="Times New Roman"/>
          <w:b/>
          <w:iCs/>
          <w:szCs w:val="18"/>
          <w:lang w:val="en-GB" w:eastAsia="ko-KR"/>
        </w:rPr>
        <w:t xml:space="preserve"> the TRP that the PRACH is transmitted toward.</w:t>
      </w:r>
    </w:p>
    <w:p w14:paraId="1272A5B6" w14:textId="2DDA64B7" w:rsidR="002D2F08" w:rsidRDefault="002D2F08" w:rsidP="00AE2AD4">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Alt2 (not </w:t>
      </w:r>
      <w:r w:rsidR="006D6E18">
        <w:rPr>
          <w:rFonts w:ascii="Times New Roman" w:hAnsi="Times New Roman"/>
          <w:b/>
          <w:iCs/>
          <w:szCs w:val="18"/>
          <w:lang w:val="en-GB" w:eastAsia="ko-KR"/>
        </w:rPr>
        <w:t>preferred but</w:t>
      </w:r>
      <w:r>
        <w:rPr>
          <w:rFonts w:ascii="Times New Roman" w:hAnsi="Times New Roman"/>
          <w:b/>
          <w:iCs/>
          <w:szCs w:val="18"/>
          <w:lang w:val="en-GB" w:eastAsia="ko-KR"/>
        </w:rPr>
        <w:t xml:space="preserve"> ca</w:t>
      </w:r>
      <w:r w:rsidR="008C6D19">
        <w:rPr>
          <w:rFonts w:ascii="Times New Roman" w:hAnsi="Times New Roman"/>
          <w:b/>
          <w:iCs/>
          <w:szCs w:val="18"/>
          <w:lang w:val="en-GB" w:eastAsia="ko-KR"/>
        </w:rPr>
        <w:t xml:space="preserve">n accept): </w:t>
      </w:r>
      <w:r w:rsidR="002363FE" w:rsidRPr="002363FE">
        <w:rPr>
          <w:rFonts w:ascii="Times New Roman" w:hAnsi="Times New Roman"/>
          <w:b/>
          <w:iCs/>
          <w:szCs w:val="18"/>
          <w:lang w:val="en-GB" w:eastAsia="ko-KR"/>
        </w:rPr>
        <w:t>SSB indicated in the CFRA based PDCCH order is used as the PL-RS for determining the transmit power of the triggered PRACH transmission</w:t>
      </w:r>
      <w:r w:rsidR="006D6E18">
        <w:rPr>
          <w:rFonts w:ascii="Times New Roman" w:hAnsi="Times New Roman"/>
          <w:b/>
          <w:iCs/>
          <w:szCs w:val="18"/>
          <w:lang w:val="en-GB" w:eastAsia="ko-KR"/>
        </w:rPr>
        <w:t>.</w:t>
      </w:r>
    </w:p>
    <w:p w14:paraId="51294E15" w14:textId="73B527F9" w:rsidR="00E61BB3" w:rsidRPr="00B1304C" w:rsidRDefault="006D6E18" w:rsidP="00B1304C">
      <w:pPr>
        <w:pStyle w:val="ListParagraph"/>
        <w:numPr>
          <w:ilvl w:val="1"/>
          <w:numId w:val="7"/>
        </w:numPr>
        <w:jc w:val="both"/>
        <w:rPr>
          <w:rFonts w:ascii="Times New Roman" w:hAnsi="Times New Roman"/>
          <w:b/>
          <w:iCs/>
          <w:szCs w:val="18"/>
          <w:lang w:val="en-GB" w:eastAsia="ko-KR"/>
        </w:rPr>
      </w:pPr>
      <w:r w:rsidRPr="006D6E18">
        <w:rPr>
          <w:rFonts w:ascii="Times New Roman" w:hAnsi="Times New Roman"/>
          <w:b/>
          <w:iCs/>
          <w:szCs w:val="18"/>
          <w:lang w:val="en-GB" w:eastAsia="ko-KR"/>
        </w:rPr>
        <w:t>UE expects the indicated SSB in PDCCH order to be associated with either the first indicated TCI state or the second indicated TCI state.</w:t>
      </w:r>
    </w:p>
    <w:p w14:paraId="783A3DBF" w14:textId="1C2D194F" w:rsidR="00E61BB3" w:rsidRPr="00050A4C" w:rsidRDefault="00E61BB3" w:rsidP="00E61BB3">
      <w:pPr>
        <w:pStyle w:val="Heading1"/>
        <w:jc w:val="both"/>
        <w:rPr>
          <w:rFonts w:asciiTheme="majorBidi" w:hAnsiTheme="majorBidi" w:cstheme="majorBidi"/>
          <w:bCs/>
        </w:rPr>
      </w:pPr>
      <w:r>
        <w:rPr>
          <w:rFonts w:asciiTheme="majorBidi" w:hAnsiTheme="majorBidi" w:cstheme="majorBidi"/>
          <w:bCs/>
        </w:rPr>
        <w:t>Issue 2: PRACH transmission</w:t>
      </w:r>
      <w:r w:rsidR="004E60FA">
        <w:rPr>
          <w:rFonts w:asciiTheme="majorBidi" w:hAnsiTheme="majorBidi" w:cstheme="majorBidi"/>
          <w:bCs/>
        </w:rPr>
        <w:t xml:space="preserve"> </w:t>
      </w:r>
      <w:r w:rsidR="002D1D6D">
        <w:rPr>
          <w:rFonts w:asciiTheme="majorBidi" w:hAnsiTheme="majorBidi" w:cstheme="majorBidi"/>
          <w:bCs/>
        </w:rPr>
        <w:t>timing and differentiation between same-TRP versus cross-TRP PDCCH order</w:t>
      </w:r>
      <w:r>
        <w:rPr>
          <w:rFonts w:asciiTheme="majorBidi" w:hAnsiTheme="majorBidi" w:cstheme="majorBidi"/>
          <w:bCs/>
        </w:rPr>
        <w:t xml:space="preserve">  </w:t>
      </w:r>
    </w:p>
    <w:p w14:paraId="3A7366C4" w14:textId="398CE74D" w:rsidR="00E61BB3" w:rsidRPr="005D7DFC" w:rsidRDefault="00E61BB3" w:rsidP="00C33DFC">
      <w:pPr>
        <w:jc w:val="both"/>
        <w:rPr>
          <w:bCs/>
          <w:iCs/>
          <w:sz w:val="22"/>
          <w:lang w:val="en-GB" w:eastAsia="ko-KR"/>
        </w:rPr>
      </w:pPr>
      <w:r w:rsidRPr="00373211">
        <w:rPr>
          <w:bCs/>
          <w:iCs/>
          <w:sz w:val="22"/>
          <w:lang w:val="en-GB" w:eastAsia="ko-KR"/>
        </w:rPr>
        <w:t xml:space="preserve">In legacy </w:t>
      </w:r>
      <w:r w:rsidR="00D96533" w:rsidRPr="00373211">
        <w:rPr>
          <w:bCs/>
          <w:iCs/>
          <w:sz w:val="22"/>
          <w:lang w:val="en-GB" w:eastAsia="ko-KR"/>
        </w:rPr>
        <w:t xml:space="preserve">specification, the timing for a </w:t>
      </w:r>
      <w:r w:rsidR="00840955" w:rsidRPr="00373211">
        <w:rPr>
          <w:bCs/>
          <w:iCs/>
          <w:sz w:val="22"/>
          <w:lang w:val="en-GB" w:eastAsia="ko-KR"/>
        </w:rPr>
        <w:t xml:space="preserve">PRACH </w:t>
      </w:r>
      <w:r w:rsidR="00E32E96" w:rsidRPr="00373211">
        <w:rPr>
          <w:bCs/>
          <w:iCs/>
          <w:sz w:val="22"/>
          <w:lang w:val="en-GB" w:eastAsia="ko-KR"/>
        </w:rPr>
        <w:t xml:space="preserve">is based on </w:t>
      </w:r>
      <w:r w:rsidR="00B06B4F" w:rsidRPr="008C46C4">
        <w:rPr>
          <w:bCs/>
          <w:iCs/>
          <w:color w:val="FF0000"/>
          <w:sz w:val="22"/>
          <w:lang w:val="en-GB" w:eastAsia="ko-KR"/>
        </w:rPr>
        <w:t>DL reference timing</w:t>
      </w:r>
      <w:r w:rsidR="00B06B4F">
        <w:rPr>
          <w:bCs/>
          <w:iCs/>
          <w:sz w:val="22"/>
          <w:lang w:val="en-GB" w:eastAsia="ko-KR"/>
        </w:rPr>
        <w:t xml:space="preserve"> </w:t>
      </w:r>
      <w:r w:rsidR="009D0169">
        <w:rPr>
          <w:bCs/>
          <w:iCs/>
          <w:sz w:val="22"/>
          <w:lang w:val="en-GB" w:eastAsia="ko-KR"/>
        </w:rPr>
        <w:t>m</w:t>
      </w:r>
      <w:r w:rsidR="009D0169" w:rsidRPr="00286632">
        <w:rPr>
          <w:bCs/>
          <w:iCs/>
          <w:sz w:val="22"/>
          <w:szCs w:val="22"/>
          <w:lang w:val="en-GB" w:eastAsia="ko-KR"/>
        </w:rPr>
        <w:t xml:space="preserve">inus </w:t>
      </w:r>
      <w:r w:rsidR="003C0EFF" w:rsidRPr="009C5807">
        <w:rPr>
          <w:rFonts w:cs="v4.2.0"/>
          <w:i/>
        </w:rPr>
        <w:t>N</w:t>
      </w:r>
      <w:r w:rsidR="003C0EFF" w:rsidRPr="009C5807">
        <w:rPr>
          <w:rFonts w:cs="v4.2.0"/>
          <w:vertAlign w:val="subscript"/>
        </w:rPr>
        <w:t>TA</w:t>
      </w:r>
      <w:r w:rsidR="002E3863">
        <w:rPr>
          <w:rFonts w:cs="v4.2.0"/>
          <w:vertAlign w:val="subscript"/>
        </w:rPr>
        <w:t xml:space="preserve"> offset</w:t>
      </w:r>
      <w:r w:rsidR="002E3863">
        <w:rPr>
          <w:i/>
          <w:sz w:val="22"/>
          <w:szCs w:val="22"/>
        </w:rPr>
        <w:t>×</w:t>
      </w:r>
      <w:r w:rsidR="00286632" w:rsidRPr="00286632">
        <w:rPr>
          <w:i/>
          <w:sz w:val="22"/>
          <w:szCs w:val="22"/>
        </w:rPr>
        <w:t>T</w:t>
      </w:r>
      <w:r w:rsidR="00286632" w:rsidRPr="00286632">
        <w:rPr>
          <w:i/>
          <w:sz w:val="22"/>
          <w:szCs w:val="22"/>
          <w:vertAlign w:val="subscript"/>
        </w:rPr>
        <w:t>c</w:t>
      </w:r>
      <w:r w:rsidR="005D7DFC">
        <w:rPr>
          <w:i/>
          <w:sz w:val="22"/>
          <w:szCs w:val="22"/>
        </w:rPr>
        <w:t xml:space="preserve"> </w:t>
      </w:r>
      <w:r w:rsidR="005D7DFC" w:rsidRPr="005D7DFC">
        <w:rPr>
          <w:iCs/>
          <w:sz w:val="22"/>
          <w:szCs w:val="22"/>
        </w:rPr>
        <w:t>(</w:t>
      </w:r>
      <w:r w:rsidR="005D7DFC">
        <w:rPr>
          <w:iCs/>
          <w:sz w:val="22"/>
          <w:szCs w:val="22"/>
        </w:rPr>
        <w:t xml:space="preserve">given that </w:t>
      </w:r>
      <w:r w:rsidR="005D7DFC" w:rsidRPr="009C5807">
        <w:rPr>
          <w:rFonts w:cs="v4.2.0"/>
          <w:i/>
        </w:rPr>
        <w:t>N</w:t>
      </w:r>
      <w:r w:rsidR="005D7DFC" w:rsidRPr="009C5807">
        <w:rPr>
          <w:rFonts w:cs="v4.2.0"/>
          <w:vertAlign w:val="subscript"/>
        </w:rPr>
        <w:t>TA</w:t>
      </w:r>
      <w:r w:rsidR="005D7DFC">
        <w:rPr>
          <w:rFonts w:cs="v4.2.0"/>
        </w:rPr>
        <w:t>=0 is assumed for PRACH)</w:t>
      </w:r>
      <w:r w:rsidR="002E3863">
        <w:rPr>
          <w:rFonts w:cs="v4.2.0"/>
        </w:rPr>
        <w:t>.</w:t>
      </w:r>
    </w:p>
    <w:p w14:paraId="2F51058F" w14:textId="69C6A13D" w:rsidR="00E32E96" w:rsidRPr="004B1590" w:rsidRDefault="00B06B4F" w:rsidP="00C33DFC">
      <w:pPr>
        <w:jc w:val="both"/>
        <w:rPr>
          <w:bCs/>
          <w:iCs/>
          <w:szCs w:val="18"/>
          <w:lang w:val="en-GB" w:eastAsia="ko-KR"/>
        </w:rPr>
      </w:pPr>
      <w:r>
        <w:rPr>
          <w:noProof/>
        </w:rPr>
        <mc:AlternateContent>
          <mc:Choice Requires="wps">
            <w:drawing>
              <wp:anchor distT="0" distB="0" distL="114300" distR="114300" simplePos="0" relativeHeight="251659264" behindDoc="0" locked="0" layoutInCell="1" allowOverlap="1" wp14:anchorId="04249288" wp14:editId="0A16181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FEAB7B" w14:textId="77777777" w:rsidR="00B06B4F" w:rsidRPr="00E82B69" w:rsidRDefault="00B06B4F" w:rsidP="00E82B69">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eastAsia="zh-CN"/>
                              </w:rPr>
                              <w:drawing>
                                <wp:inline distT="0" distB="0" distL="0" distR="0" wp14:anchorId="23058592" wp14:editId="25E1FD7E">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24928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6FEAB7B" w14:textId="77777777" w:rsidR="00B06B4F" w:rsidRPr="00E82B69" w:rsidRDefault="00B06B4F" w:rsidP="00E82B69">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eastAsia="zh-CN"/>
                        </w:rPr>
                        <w:drawing>
                          <wp:inline distT="0" distB="0" distL="0" distR="0" wp14:anchorId="23058592" wp14:editId="25E1FD7E">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txbxContent>
                </v:textbox>
                <w10:wrap type="square"/>
              </v:shape>
            </w:pict>
          </mc:Fallback>
        </mc:AlternateContent>
      </w:r>
    </w:p>
    <w:p w14:paraId="3A662A7B" w14:textId="53DC180B" w:rsidR="004E60FA" w:rsidRDefault="004E60FA"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RAN</w:t>
      </w:r>
      <w:r w:rsidR="000A09A5">
        <w:rPr>
          <w:rFonts w:asciiTheme="majorBidi" w:hAnsiTheme="majorBidi" w:cstheme="majorBidi"/>
          <w:bCs/>
          <w:iCs/>
          <w:sz w:val="22"/>
          <w:szCs w:val="22"/>
          <w:lang w:val="en-GB"/>
        </w:rPr>
        <w:t>1 has already agreed to use two different DL reference timing associated with the two TAGs</w:t>
      </w:r>
      <w:r w:rsidR="00A779F4">
        <w:rPr>
          <w:rFonts w:asciiTheme="majorBidi" w:hAnsiTheme="majorBidi" w:cstheme="majorBidi"/>
          <w:bCs/>
          <w:iCs/>
          <w:sz w:val="22"/>
          <w:szCs w:val="22"/>
          <w:lang w:val="en-GB"/>
        </w:rPr>
        <w:t>:</w:t>
      </w:r>
    </w:p>
    <w:p w14:paraId="7DB73FB7" w14:textId="23BB98FE" w:rsidR="00A779F4" w:rsidRDefault="00A268E5" w:rsidP="00BD1876">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1312" behindDoc="0" locked="0" layoutInCell="1" allowOverlap="1" wp14:anchorId="6EE906B0" wp14:editId="7CB27389">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1CCC5D" w14:textId="77777777" w:rsidR="00E326EE" w:rsidRPr="00E326EE" w:rsidRDefault="00E326EE" w:rsidP="00E326EE">
                            <w:pPr>
                              <w:spacing w:after="0"/>
                              <w:rPr>
                                <w:rFonts w:eastAsia="Times New Roman"/>
                              </w:rPr>
                            </w:pPr>
                            <w:r w:rsidRPr="00E326EE">
                              <w:rPr>
                                <w:rFonts w:eastAsia="Times New Roman"/>
                                <w:b/>
                                <w:bCs/>
                                <w:highlight w:val="green"/>
                                <w:lang w:val="en-GB"/>
                              </w:rPr>
                              <w:t>Agreement</w:t>
                            </w:r>
                          </w:p>
                          <w:p w14:paraId="12D8F2BD" w14:textId="77777777" w:rsidR="00E326EE" w:rsidRPr="00E326EE" w:rsidRDefault="00E326EE" w:rsidP="00E326EE">
                            <w:pPr>
                              <w:spacing w:after="0"/>
                              <w:rPr>
                                <w:rFonts w:eastAsia="Times New Roman"/>
                              </w:rPr>
                            </w:pPr>
                            <w:r w:rsidRPr="00E326EE">
                              <w:rPr>
                                <w:rFonts w:eastAsia="Times New Roman"/>
                                <w:lang w:val="en-GB"/>
                              </w:rPr>
                              <w:t>For multi-DCI multi-TRP operation with two TAs in a CC, two DL reference timings are supported where each DL reference timing is associated with one TAG</w:t>
                            </w:r>
                          </w:p>
                          <w:p w14:paraId="27E5062B" w14:textId="77777777" w:rsidR="00E326EE" w:rsidRPr="00E326EE" w:rsidRDefault="00E326EE" w:rsidP="00E326EE">
                            <w:pPr>
                              <w:numPr>
                                <w:ilvl w:val="0"/>
                                <w:numId w:val="21"/>
                              </w:numPr>
                              <w:spacing w:after="0"/>
                              <w:rPr>
                                <w:rFonts w:eastAsia="Times New Roman"/>
                              </w:rPr>
                            </w:pPr>
                            <w:r w:rsidRPr="00E326EE">
                              <w:rPr>
                                <w:rFonts w:eastAsia="Times New Roman"/>
                                <w:lang w:val="en-GB"/>
                              </w:rPr>
                              <w:t xml:space="preserve">baseline assumption is that the Rx timing difference between the two DL reference timings is no larger than CP length </w:t>
                            </w:r>
                          </w:p>
                          <w:p w14:paraId="182A5A5E" w14:textId="77777777" w:rsidR="00E326EE" w:rsidRPr="00E326EE" w:rsidRDefault="00E326EE" w:rsidP="00E326EE">
                            <w:pPr>
                              <w:numPr>
                                <w:ilvl w:val="0"/>
                                <w:numId w:val="21"/>
                              </w:numPr>
                              <w:spacing w:after="0"/>
                              <w:rPr>
                                <w:rFonts w:eastAsia="Times New Roman"/>
                              </w:rPr>
                            </w:pPr>
                            <w:r w:rsidRPr="00E326EE">
                              <w:rPr>
                                <w:rFonts w:eastAsia="Times New Roman"/>
                                <w:lang w:val="en-GB"/>
                              </w:rPr>
                              <w:t>as an optional UE capability, Rx timing difference between the two DL reference timings can be assumed to be larger than CP length</w:t>
                            </w:r>
                          </w:p>
                          <w:p w14:paraId="2BD98B36" w14:textId="77777777" w:rsidR="00E326EE" w:rsidRPr="00E326EE" w:rsidRDefault="00E326EE" w:rsidP="00E326EE">
                            <w:pPr>
                              <w:numPr>
                                <w:ilvl w:val="1"/>
                                <w:numId w:val="21"/>
                              </w:numPr>
                              <w:spacing w:after="0"/>
                              <w:rPr>
                                <w:rFonts w:eastAsia="Times New Roman"/>
                              </w:rPr>
                            </w:pPr>
                            <w:r w:rsidRPr="00E326EE">
                              <w:rPr>
                                <w:rFonts w:eastAsia="Times New Roman"/>
                                <w:lang w:val="en-GB"/>
                              </w:rPr>
                              <w:t>FFS: the maximum Rx timing difference (could be up to RAN4)</w:t>
                            </w:r>
                          </w:p>
                          <w:p w14:paraId="036DBB6B" w14:textId="67D268C1" w:rsidR="00A268E5" w:rsidRPr="00E326EE" w:rsidRDefault="00E326EE" w:rsidP="00E326EE">
                            <w:pPr>
                              <w:numPr>
                                <w:ilvl w:val="1"/>
                                <w:numId w:val="21"/>
                              </w:numPr>
                              <w:spacing w:after="0"/>
                              <w:rPr>
                                <w:rFonts w:eastAsia="Times New Roman"/>
                              </w:rPr>
                            </w:pPr>
                            <w:r w:rsidRPr="00E326EE">
                              <w:rPr>
                                <w:rFonts w:eastAsia="Times New Roman"/>
                                <w:lang w:val="en-GB"/>
                              </w:rPr>
                              <w:t>Other than UE capability details and relevant configuration, no additional RAN1 specification enhancement specific for this case is expected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E906B0" id="Text Box 6"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Zc23zwCAAB/BAAADgAAAAAAAAAAAAAA&#10;AAAuAgAAZHJzL2Uyb0RvYy54bWxQSwECLQAUAAYACAAAACEAtwwDCNcAAAAFAQAADwAAAAAAAAAA&#10;AAAAAACWBAAAZHJzL2Rvd25yZXYueG1sUEsFBgAAAAAEAAQA8wAAAJoFAAAAAA==&#10;" filled="f" strokeweight=".5pt">
                <v:textbox style="mso-fit-shape-to-text:t">
                  <w:txbxContent>
                    <w:p w14:paraId="531CCC5D" w14:textId="77777777" w:rsidR="00E326EE" w:rsidRPr="00E326EE" w:rsidRDefault="00E326EE" w:rsidP="00E326EE">
                      <w:pPr>
                        <w:spacing w:after="0"/>
                        <w:rPr>
                          <w:rFonts w:eastAsia="Times New Roman"/>
                        </w:rPr>
                      </w:pPr>
                      <w:r w:rsidRPr="00E326EE">
                        <w:rPr>
                          <w:rFonts w:eastAsia="Times New Roman"/>
                          <w:b/>
                          <w:bCs/>
                          <w:highlight w:val="green"/>
                          <w:lang w:val="en-GB"/>
                        </w:rPr>
                        <w:t>Agreement</w:t>
                      </w:r>
                    </w:p>
                    <w:p w14:paraId="12D8F2BD" w14:textId="77777777" w:rsidR="00E326EE" w:rsidRPr="00E326EE" w:rsidRDefault="00E326EE" w:rsidP="00E326EE">
                      <w:pPr>
                        <w:spacing w:after="0"/>
                        <w:rPr>
                          <w:rFonts w:eastAsia="Times New Roman"/>
                        </w:rPr>
                      </w:pPr>
                      <w:r w:rsidRPr="00E326EE">
                        <w:rPr>
                          <w:rFonts w:eastAsia="Times New Roman"/>
                          <w:lang w:val="en-GB"/>
                        </w:rPr>
                        <w:t>For multi-DCI multi-TRP operation with two TAs in a CC, two DL reference timings are supported where each DL reference timing is associated with one TAG</w:t>
                      </w:r>
                    </w:p>
                    <w:p w14:paraId="27E5062B" w14:textId="77777777" w:rsidR="00E326EE" w:rsidRPr="00E326EE" w:rsidRDefault="00E326EE" w:rsidP="00E326EE">
                      <w:pPr>
                        <w:numPr>
                          <w:ilvl w:val="0"/>
                          <w:numId w:val="21"/>
                        </w:numPr>
                        <w:spacing w:after="0"/>
                        <w:rPr>
                          <w:rFonts w:eastAsia="Times New Roman"/>
                        </w:rPr>
                      </w:pPr>
                      <w:r w:rsidRPr="00E326EE">
                        <w:rPr>
                          <w:rFonts w:eastAsia="Times New Roman"/>
                          <w:lang w:val="en-GB"/>
                        </w:rPr>
                        <w:t xml:space="preserve">baseline assumption is that the Rx timing difference between the two DL reference timings is no larger than CP length </w:t>
                      </w:r>
                    </w:p>
                    <w:p w14:paraId="182A5A5E" w14:textId="77777777" w:rsidR="00E326EE" w:rsidRPr="00E326EE" w:rsidRDefault="00E326EE" w:rsidP="00E326EE">
                      <w:pPr>
                        <w:numPr>
                          <w:ilvl w:val="0"/>
                          <w:numId w:val="21"/>
                        </w:numPr>
                        <w:spacing w:after="0"/>
                        <w:rPr>
                          <w:rFonts w:eastAsia="Times New Roman"/>
                        </w:rPr>
                      </w:pPr>
                      <w:r w:rsidRPr="00E326EE">
                        <w:rPr>
                          <w:rFonts w:eastAsia="Times New Roman"/>
                          <w:lang w:val="en-GB"/>
                        </w:rPr>
                        <w:t>as an optional UE capability, Rx timing difference between the two DL reference timings can be assumed to be larger than CP length</w:t>
                      </w:r>
                    </w:p>
                    <w:p w14:paraId="2BD98B36" w14:textId="77777777" w:rsidR="00E326EE" w:rsidRPr="00E326EE" w:rsidRDefault="00E326EE" w:rsidP="00E326EE">
                      <w:pPr>
                        <w:numPr>
                          <w:ilvl w:val="1"/>
                          <w:numId w:val="21"/>
                        </w:numPr>
                        <w:spacing w:after="0"/>
                        <w:rPr>
                          <w:rFonts w:eastAsia="Times New Roman"/>
                        </w:rPr>
                      </w:pPr>
                      <w:r w:rsidRPr="00E326EE">
                        <w:rPr>
                          <w:rFonts w:eastAsia="Times New Roman"/>
                          <w:lang w:val="en-GB"/>
                        </w:rPr>
                        <w:t>FFS: the maximum Rx timing difference (could be up to RAN4)</w:t>
                      </w:r>
                    </w:p>
                    <w:p w14:paraId="036DBB6B" w14:textId="67D268C1" w:rsidR="00A268E5" w:rsidRPr="00E326EE" w:rsidRDefault="00E326EE" w:rsidP="00E326EE">
                      <w:pPr>
                        <w:numPr>
                          <w:ilvl w:val="1"/>
                          <w:numId w:val="21"/>
                        </w:numPr>
                        <w:spacing w:after="0"/>
                        <w:rPr>
                          <w:rFonts w:eastAsia="Times New Roman"/>
                        </w:rPr>
                      </w:pPr>
                      <w:r w:rsidRPr="00E326EE">
                        <w:rPr>
                          <w:rFonts w:eastAsia="Times New Roman"/>
                          <w:lang w:val="en-GB"/>
                        </w:rPr>
                        <w:t>Other than UE capability details and relevant configuration, no additional RAN1 specification enhancement specific for this case is expected</w:t>
                      </w:r>
                    </w:p>
                  </w:txbxContent>
                </v:textbox>
                <w10:wrap type="square"/>
              </v:shape>
            </w:pict>
          </mc:Fallback>
        </mc:AlternateContent>
      </w:r>
    </w:p>
    <w:p w14:paraId="1EC07E5E" w14:textId="77777777" w:rsidR="009645E1" w:rsidRDefault="00077C20"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 xml:space="preserve">For inter-cell case, </w:t>
      </w:r>
      <w:r w:rsidR="009A0F38">
        <w:rPr>
          <w:rFonts w:asciiTheme="majorBidi" w:hAnsiTheme="majorBidi" w:cstheme="majorBidi"/>
          <w:bCs/>
          <w:iCs/>
          <w:sz w:val="22"/>
          <w:szCs w:val="22"/>
          <w:lang w:val="en-GB"/>
        </w:rPr>
        <w:t>UE knows the corresponding PCI based on PDCCH order, and hence</w:t>
      </w:r>
      <w:r w:rsidR="0039369F">
        <w:rPr>
          <w:rFonts w:asciiTheme="majorBidi" w:hAnsiTheme="majorBidi" w:cstheme="majorBidi"/>
          <w:bCs/>
          <w:iCs/>
          <w:sz w:val="22"/>
          <w:szCs w:val="22"/>
          <w:lang w:val="en-GB"/>
        </w:rPr>
        <w:t xml:space="preserve">, knows whether </w:t>
      </w:r>
      <w:r w:rsidR="0075574E">
        <w:rPr>
          <w:rFonts w:asciiTheme="majorBidi" w:hAnsiTheme="majorBidi" w:cstheme="majorBidi"/>
          <w:bCs/>
          <w:iCs/>
          <w:sz w:val="22"/>
          <w:szCs w:val="22"/>
          <w:lang w:val="en-GB"/>
        </w:rPr>
        <w:t xml:space="preserve">PRACH transmission is associated with </w:t>
      </w:r>
      <w:r w:rsidR="009645E1">
        <w:rPr>
          <w:rFonts w:asciiTheme="majorBidi" w:hAnsiTheme="majorBidi" w:cstheme="majorBidi"/>
          <w:bCs/>
          <w:iCs/>
          <w:sz w:val="22"/>
          <w:szCs w:val="22"/>
          <w:lang w:val="en-GB"/>
        </w:rPr>
        <w:t xml:space="preserve">the first or second </w:t>
      </w:r>
      <w:r w:rsidR="0075574E">
        <w:rPr>
          <w:rFonts w:asciiTheme="majorBidi" w:hAnsiTheme="majorBidi" w:cstheme="majorBidi"/>
          <w:bCs/>
          <w:iCs/>
          <w:sz w:val="22"/>
          <w:szCs w:val="22"/>
          <w:lang w:val="en-GB"/>
        </w:rPr>
        <w:t>DL reference timing</w:t>
      </w:r>
      <w:r w:rsidR="009645E1">
        <w:rPr>
          <w:rFonts w:asciiTheme="majorBidi" w:hAnsiTheme="majorBidi" w:cstheme="majorBidi"/>
          <w:bCs/>
          <w:iCs/>
          <w:sz w:val="22"/>
          <w:szCs w:val="22"/>
          <w:lang w:val="en-GB"/>
        </w:rPr>
        <w:t>.</w:t>
      </w:r>
    </w:p>
    <w:p w14:paraId="08A5F703" w14:textId="77777777" w:rsidR="001E76A9" w:rsidRDefault="009645E1" w:rsidP="0071377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intra-cell case, </w:t>
      </w:r>
      <w:r w:rsidR="00E42235">
        <w:rPr>
          <w:rFonts w:asciiTheme="majorBidi" w:hAnsiTheme="majorBidi" w:cstheme="majorBidi"/>
          <w:bCs/>
          <w:iCs/>
          <w:sz w:val="22"/>
          <w:szCs w:val="22"/>
          <w:lang w:val="en-GB"/>
        </w:rPr>
        <w:t xml:space="preserve">it is not clear </w:t>
      </w:r>
      <w:r w:rsidR="0062139A">
        <w:rPr>
          <w:rFonts w:asciiTheme="majorBidi" w:hAnsiTheme="majorBidi" w:cstheme="majorBidi"/>
          <w:bCs/>
          <w:iCs/>
          <w:sz w:val="22"/>
          <w:szCs w:val="22"/>
          <w:lang w:val="en-GB"/>
        </w:rPr>
        <w:t xml:space="preserve">how the UE can determine </w:t>
      </w:r>
      <w:r w:rsidR="00153370">
        <w:rPr>
          <w:rFonts w:asciiTheme="majorBidi" w:hAnsiTheme="majorBidi" w:cstheme="majorBidi"/>
          <w:bCs/>
          <w:iCs/>
          <w:sz w:val="22"/>
          <w:szCs w:val="22"/>
          <w:lang w:val="en-GB"/>
        </w:rPr>
        <w:t>whether</w:t>
      </w:r>
      <w:r w:rsidR="00F76291">
        <w:rPr>
          <w:rFonts w:asciiTheme="majorBidi" w:hAnsiTheme="majorBidi" w:cstheme="majorBidi"/>
          <w:bCs/>
          <w:iCs/>
          <w:sz w:val="22"/>
          <w:szCs w:val="22"/>
          <w:lang w:val="en-GB"/>
        </w:rPr>
        <w:t xml:space="preserve"> to use the first or the second DL reference timing for </w:t>
      </w:r>
      <w:r w:rsidR="00110567">
        <w:rPr>
          <w:rFonts w:asciiTheme="majorBidi" w:hAnsiTheme="majorBidi" w:cstheme="majorBidi"/>
          <w:bCs/>
          <w:iCs/>
          <w:sz w:val="22"/>
          <w:szCs w:val="22"/>
          <w:lang w:val="en-GB"/>
        </w:rPr>
        <w:t>PRACH transmission.</w:t>
      </w:r>
      <w:r w:rsidR="00153370">
        <w:rPr>
          <w:rFonts w:asciiTheme="majorBidi" w:hAnsiTheme="majorBidi" w:cstheme="majorBidi"/>
          <w:bCs/>
          <w:iCs/>
          <w:sz w:val="22"/>
          <w:szCs w:val="22"/>
          <w:lang w:val="en-GB"/>
        </w:rPr>
        <w:t xml:space="preserve"> Also, in the </w:t>
      </w:r>
      <w:r w:rsidR="0071377D">
        <w:rPr>
          <w:rFonts w:asciiTheme="majorBidi" w:hAnsiTheme="majorBidi" w:cstheme="majorBidi"/>
          <w:bCs/>
          <w:iCs/>
          <w:sz w:val="22"/>
          <w:szCs w:val="22"/>
          <w:lang w:val="en-GB"/>
        </w:rPr>
        <w:t>RAN1 #114 agreement, the note “</w:t>
      </w:r>
      <w:r w:rsidR="0071377D" w:rsidRPr="0071377D">
        <w:rPr>
          <w:rFonts w:asciiTheme="majorBidi" w:hAnsiTheme="majorBidi" w:cstheme="majorBidi"/>
          <w:bCs/>
          <w:iCs/>
          <w:sz w:val="22"/>
          <w:szCs w:val="22"/>
          <w:lang w:val="en-GB"/>
        </w:rPr>
        <w:t xml:space="preserve">Note: For intra-cell multi-DCI based Multi-TRP operation, only a single </w:t>
      </w:r>
      <w:r w:rsidR="0071377D" w:rsidRPr="0071377D">
        <w:rPr>
          <w:rFonts w:asciiTheme="majorBidi" w:hAnsiTheme="majorBidi" w:cstheme="majorBidi"/>
          <w:bCs/>
          <w:i/>
          <w:iCs/>
          <w:sz w:val="22"/>
          <w:szCs w:val="22"/>
          <w:lang w:val="en-GB"/>
        </w:rPr>
        <w:t>N</w:t>
      </w:r>
      <w:r w:rsidR="0071377D" w:rsidRPr="0071377D">
        <w:rPr>
          <w:rFonts w:asciiTheme="majorBidi" w:hAnsiTheme="majorBidi" w:cstheme="majorBidi"/>
          <w:bCs/>
          <w:i/>
          <w:iCs/>
          <w:sz w:val="22"/>
          <w:szCs w:val="22"/>
          <w:vertAlign w:val="subscript"/>
          <w:lang w:val="en-GB"/>
        </w:rPr>
        <w:t>TA,offset</w:t>
      </w:r>
      <w:r w:rsidR="0071377D" w:rsidRPr="0071377D">
        <w:rPr>
          <w:rFonts w:asciiTheme="majorBidi" w:hAnsiTheme="majorBidi" w:cstheme="majorBidi"/>
          <w:bCs/>
          <w:iCs/>
          <w:sz w:val="22"/>
          <w:szCs w:val="22"/>
          <w:lang w:val="en-GB"/>
        </w:rPr>
        <w:t xml:space="preserve"> is configured</w:t>
      </w:r>
      <w:r w:rsidR="0071377D">
        <w:rPr>
          <w:rFonts w:asciiTheme="majorBidi" w:hAnsiTheme="majorBidi" w:cstheme="majorBidi"/>
          <w:bCs/>
          <w:iCs/>
          <w:sz w:val="22"/>
          <w:szCs w:val="22"/>
          <w:lang w:val="en-GB"/>
        </w:rPr>
        <w:t>”</w:t>
      </w:r>
      <w:r w:rsidR="00110567">
        <w:rPr>
          <w:rFonts w:asciiTheme="majorBidi" w:hAnsiTheme="majorBidi" w:cstheme="majorBidi"/>
          <w:bCs/>
          <w:iCs/>
          <w:sz w:val="22"/>
          <w:szCs w:val="22"/>
          <w:lang w:val="en-GB"/>
        </w:rPr>
        <w:t xml:space="preserve"> </w:t>
      </w:r>
      <w:r w:rsidR="0071377D">
        <w:rPr>
          <w:rFonts w:asciiTheme="majorBidi" w:hAnsiTheme="majorBidi" w:cstheme="majorBidi"/>
          <w:bCs/>
          <w:iCs/>
          <w:sz w:val="22"/>
          <w:szCs w:val="22"/>
          <w:lang w:val="en-GB"/>
        </w:rPr>
        <w:t xml:space="preserve">does not resolve the issue for DL reference timing. Hence, an indication </w:t>
      </w:r>
      <w:r w:rsidR="00E70B66">
        <w:rPr>
          <w:rFonts w:asciiTheme="majorBidi" w:hAnsiTheme="majorBidi" w:cstheme="majorBidi"/>
          <w:bCs/>
          <w:iCs/>
          <w:sz w:val="22"/>
          <w:szCs w:val="22"/>
          <w:lang w:val="en-GB"/>
        </w:rPr>
        <w:t>in PDCCH order DCI is needed to address this issue.</w:t>
      </w:r>
    </w:p>
    <w:p w14:paraId="38875A2E" w14:textId="68ED67AD" w:rsidR="00064D41" w:rsidRDefault="001F27AB" w:rsidP="0071377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addition to the issue of </w:t>
      </w:r>
      <w:r w:rsidR="00335413">
        <w:rPr>
          <w:rFonts w:asciiTheme="majorBidi" w:hAnsiTheme="majorBidi" w:cstheme="majorBidi"/>
          <w:bCs/>
          <w:iCs/>
          <w:sz w:val="22"/>
          <w:szCs w:val="22"/>
          <w:lang w:val="en-GB"/>
        </w:rPr>
        <w:t xml:space="preserve">PRACH transmission timing discussed above, UE needs to differentiate between </w:t>
      </w:r>
      <w:r w:rsidR="00064D41">
        <w:rPr>
          <w:rFonts w:asciiTheme="majorBidi" w:hAnsiTheme="majorBidi" w:cstheme="majorBidi"/>
          <w:bCs/>
          <w:iCs/>
          <w:sz w:val="22"/>
          <w:szCs w:val="22"/>
          <w:lang w:val="en-GB"/>
        </w:rPr>
        <w:t>same-TRP versus cross-TRP PDCCH order as agreed in RAN1 #114bis</w:t>
      </w:r>
      <w:r w:rsidR="00697028">
        <w:rPr>
          <w:rFonts w:asciiTheme="majorBidi" w:hAnsiTheme="majorBidi" w:cstheme="majorBidi"/>
          <w:bCs/>
          <w:iCs/>
          <w:sz w:val="22"/>
          <w:szCs w:val="22"/>
          <w:lang w:val="en-GB"/>
        </w:rPr>
        <w:t xml:space="preserve"> for intra-cell mTRP:</w:t>
      </w:r>
    </w:p>
    <w:p w14:paraId="57960245" w14:textId="0121A0E5" w:rsidR="00B06B4F" w:rsidRDefault="007922C2" w:rsidP="0071377D">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5408" behindDoc="0" locked="0" layoutInCell="1" allowOverlap="1" wp14:anchorId="02261D07" wp14:editId="0B3452FD">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6937B8" w14:textId="77777777" w:rsidR="007922C2" w:rsidRPr="006F1CAE" w:rsidRDefault="007922C2" w:rsidP="006F1CAE">
                            <w:pPr>
                              <w:spacing w:after="0"/>
                              <w:jc w:val="both"/>
                              <w:rPr>
                                <w:rFonts w:asciiTheme="majorBidi" w:hAnsiTheme="majorBidi" w:cstheme="majorBidi"/>
                                <w:bCs/>
                                <w:iCs/>
                              </w:rPr>
                            </w:pPr>
                            <w:r w:rsidRPr="006F1CAE">
                              <w:rPr>
                                <w:rFonts w:asciiTheme="majorBidi" w:hAnsiTheme="majorBidi" w:cstheme="majorBidi"/>
                                <w:b/>
                                <w:bCs/>
                                <w:iCs/>
                                <w:highlight w:val="green"/>
                                <w:lang w:val="en-GB"/>
                              </w:rPr>
                              <w:t>Agreement</w:t>
                            </w:r>
                          </w:p>
                          <w:p w14:paraId="538B460A" w14:textId="77777777" w:rsidR="007922C2" w:rsidRPr="006F1CAE" w:rsidRDefault="007922C2" w:rsidP="006F1CAE">
                            <w:pPr>
                              <w:spacing w:after="0"/>
                              <w:jc w:val="both"/>
                              <w:rPr>
                                <w:rFonts w:asciiTheme="majorBidi" w:hAnsiTheme="majorBidi" w:cstheme="majorBidi"/>
                                <w:bCs/>
                                <w:iCs/>
                              </w:rPr>
                            </w:pPr>
                            <w:r w:rsidRPr="006F1CAE">
                              <w:rPr>
                                <w:rFonts w:asciiTheme="majorBidi" w:hAnsiTheme="majorBidi" w:cstheme="majorBidi"/>
                                <w:bCs/>
                                <w:iCs/>
                                <w:lang w:val="en-GB"/>
                              </w:rPr>
                              <w:t>The following working assumption is confirmed</w:t>
                            </w:r>
                          </w:p>
                          <w:p w14:paraId="210AD051" w14:textId="77777777" w:rsidR="006F1CAE" w:rsidRPr="006F1CAE" w:rsidRDefault="006F1CAE" w:rsidP="006F1CAE">
                            <w:pPr>
                              <w:numPr>
                                <w:ilvl w:val="0"/>
                                <w:numId w:val="20"/>
                              </w:numPr>
                              <w:spacing w:after="0"/>
                              <w:jc w:val="both"/>
                              <w:rPr>
                                <w:rFonts w:asciiTheme="majorBidi" w:hAnsiTheme="majorBidi" w:cstheme="majorBidi"/>
                                <w:bCs/>
                                <w:iCs/>
                              </w:rPr>
                            </w:pPr>
                            <w:r w:rsidRPr="006F1CAE">
                              <w:rPr>
                                <w:rFonts w:asciiTheme="majorBidi" w:hAnsiTheme="majorBidi" w:cstheme="majorBidi"/>
                                <w:bCs/>
                                <w:i/>
                                <w:iCs/>
                              </w:rPr>
                              <w:t>“For intra-cell multi-DCI based Multi-TRP operation with two TA enhancement, support the case where a PDCCH order sent by TRP</w:t>
                            </w:r>
                            <w:r w:rsidRPr="006F1CAE">
                              <w:rPr>
                                <w:rFonts w:asciiTheme="majorBidi" w:hAnsiTheme="majorBidi" w:cstheme="majorBidi"/>
                                <w:bCs/>
                                <w:i/>
                                <w:iCs/>
                                <w:vertAlign w:val="subscript"/>
                              </w:rPr>
                              <w:t>X</w:t>
                            </w:r>
                            <w:r w:rsidRPr="006F1CAE">
                              <w:rPr>
                                <w:rFonts w:asciiTheme="majorBidi" w:hAnsiTheme="majorBidi" w:cstheme="majorBidi"/>
                                <w:bCs/>
                                <w:i/>
                                <w:iCs/>
                              </w:rPr>
                              <w:t xml:space="preserve"> triggers RACH procedure towards either TRP</w:t>
                            </w:r>
                            <w:r w:rsidRPr="006F1CAE">
                              <w:rPr>
                                <w:rFonts w:asciiTheme="majorBidi" w:hAnsiTheme="majorBidi" w:cstheme="majorBidi"/>
                                <w:bCs/>
                                <w:i/>
                                <w:iCs/>
                                <w:vertAlign w:val="subscript"/>
                              </w:rPr>
                              <w:t>X</w:t>
                            </w:r>
                            <w:r w:rsidRPr="006F1CAE">
                              <w:rPr>
                                <w:rFonts w:asciiTheme="majorBidi" w:hAnsiTheme="majorBidi" w:cstheme="majorBidi"/>
                                <w:bCs/>
                                <w:i/>
                                <w:iCs/>
                              </w:rPr>
                              <w:t xml:space="preserve"> or TRP</w:t>
                            </w:r>
                            <w:r w:rsidRPr="006F1CAE">
                              <w:rPr>
                                <w:rFonts w:asciiTheme="majorBidi" w:hAnsiTheme="majorBidi" w:cstheme="majorBidi"/>
                                <w:bCs/>
                                <w:i/>
                                <w:iCs/>
                                <w:vertAlign w:val="subscript"/>
                              </w:rPr>
                              <w:t>Y</w:t>
                            </w:r>
                            <w:r w:rsidRPr="006F1CAE">
                              <w:rPr>
                                <w:rFonts w:asciiTheme="majorBidi" w:hAnsiTheme="majorBidi" w:cstheme="majorBidi"/>
                                <w:bCs/>
                                <w:i/>
                                <w:iCs/>
                              </w:rPr>
                              <w:t>.”</w:t>
                            </w:r>
                          </w:p>
                          <w:p w14:paraId="36E66F5F" w14:textId="77777777" w:rsidR="007922C2" w:rsidRPr="00C43F00" w:rsidRDefault="007922C2" w:rsidP="00C43F00">
                            <w:pPr>
                              <w:spacing w:after="0"/>
                              <w:jc w:val="both"/>
                              <w:rPr>
                                <w:rFonts w:asciiTheme="majorBidi" w:hAnsiTheme="majorBidi" w:cstheme="majorBidi"/>
                                <w:bCs/>
                                <w:iCs/>
                              </w:rPr>
                            </w:pPr>
                            <w:r w:rsidRPr="006F1CAE">
                              <w:rPr>
                                <w:rFonts w:asciiTheme="majorBidi" w:hAnsiTheme="majorBidi" w:cstheme="majorBidi"/>
                                <w:bCs/>
                                <w:iCs/>
                              </w:rPr>
                              <w:t>Above confirmation does not change power control for the same TRP PDCCH 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261D07" id="Text Box 2"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fill o:detectmouseclick="t"/>
                <v:textbox style="mso-fit-shape-to-text:t">
                  <w:txbxContent>
                    <w:p w14:paraId="046937B8" w14:textId="77777777" w:rsidR="007922C2" w:rsidRPr="006F1CAE" w:rsidRDefault="007922C2" w:rsidP="006F1CAE">
                      <w:pPr>
                        <w:spacing w:after="0"/>
                        <w:jc w:val="both"/>
                        <w:rPr>
                          <w:rFonts w:asciiTheme="majorBidi" w:hAnsiTheme="majorBidi" w:cstheme="majorBidi"/>
                          <w:bCs/>
                          <w:iCs/>
                        </w:rPr>
                      </w:pPr>
                      <w:r w:rsidRPr="006F1CAE">
                        <w:rPr>
                          <w:rFonts w:asciiTheme="majorBidi" w:hAnsiTheme="majorBidi" w:cstheme="majorBidi"/>
                          <w:b/>
                          <w:bCs/>
                          <w:iCs/>
                          <w:highlight w:val="green"/>
                          <w:lang w:val="en-GB"/>
                        </w:rPr>
                        <w:t>Agreement</w:t>
                      </w:r>
                    </w:p>
                    <w:p w14:paraId="538B460A" w14:textId="77777777" w:rsidR="007922C2" w:rsidRPr="006F1CAE" w:rsidRDefault="007922C2" w:rsidP="006F1CAE">
                      <w:pPr>
                        <w:spacing w:after="0"/>
                        <w:jc w:val="both"/>
                        <w:rPr>
                          <w:rFonts w:asciiTheme="majorBidi" w:hAnsiTheme="majorBidi" w:cstheme="majorBidi"/>
                          <w:bCs/>
                          <w:iCs/>
                        </w:rPr>
                      </w:pPr>
                      <w:r w:rsidRPr="006F1CAE">
                        <w:rPr>
                          <w:rFonts w:asciiTheme="majorBidi" w:hAnsiTheme="majorBidi" w:cstheme="majorBidi"/>
                          <w:bCs/>
                          <w:iCs/>
                          <w:lang w:val="en-GB"/>
                        </w:rPr>
                        <w:t>The following working assumption is confirmed</w:t>
                      </w:r>
                    </w:p>
                    <w:p w14:paraId="210AD051" w14:textId="77777777" w:rsidR="006F1CAE" w:rsidRPr="006F1CAE" w:rsidRDefault="006F1CAE" w:rsidP="006F1CAE">
                      <w:pPr>
                        <w:numPr>
                          <w:ilvl w:val="0"/>
                          <w:numId w:val="20"/>
                        </w:numPr>
                        <w:spacing w:after="0"/>
                        <w:jc w:val="both"/>
                        <w:rPr>
                          <w:rFonts w:asciiTheme="majorBidi" w:hAnsiTheme="majorBidi" w:cstheme="majorBidi"/>
                          <w:bCs/>
                          <w:iCs/>
                        </w:rPr>
                      </w:pPr>
                      <w:r w:rsidRPr="006F1CAE">
                        <w:rPr>
                          <w:rFonts w:asciiTheme="majorBidi" w:hAnsiTheme="majorBidi" w:cstheme="majorBidi"/>
                          <w:bCs/>
                          <w:i/>
                          <w:iCs/>
                        </w:rPr>
                        <w:t xml:space="preserve">“For intra-cell multi-DCI based </w:t>
                      </w:r>
                      <w:proofErr w:type="gramStart"/>
                      <w:r w:rsidRPr="006F1CAE">
                        <w:rPr>
                          <w:rFonts w:asciiTheme="majorBidi" w:hAnsiTheme="majorBidi" w:cstheme="majorBidi"/>
                          <w:bCs/>
                          <w:i/>
                          <w:iCs/>
                        </w:rPr>
                        <w:t>Multi-TRP</w:t>
                      </w:r>
                      <w:proofErr w:type="gramEnd"/>
                      <w:r w:rsidRPr="006F1CAE">
                        <w:rPr>
                          <w:rFonts w:asciiTheme="majorBidi" w:hAnsiTheme="majorBidi" w:cstheme="majorBidi"/>
                          <w:bCs/>
                          <w:i/>
                          <w:iCs/>
                        </w:rPr>
                        <w:t xml:space="preserve"> operation with two TA enhancement, support the case where a PDCCH order sent by TRP</w:t>
                      </w:r>
                      <w:r w:rsidRPr="006F1CAE">
                        <w:rPr>
                          <w:rFonts w:asciiTheme="majorBidi" w:hAnsiTheme="majorBidi" w:cstheme="majorBidi"/>
                          <w:bCs/>
                          <w:i/>
                          <w:iCs/>
                          <w:vertAlign w:val="subscript"/>
                        </w:rPr>
                        <w:t>X</w:t>
                      </w:r>
                      <w:r w:rsidRPr="006F1CAE">
                        <w:rPr>
                          <w:rFonts w:asciiTheme="majorBidi" w:hAnsiTheme="majorBidi" w:cstheme="majorBidi"/>
                          <w:bCs/>
                          <w:i/>
                          <w:iCs/>
                        </w:rPr>
                        <w:t xml:space="preserve"> triggers RACH procedure towards either TRP</w:t>
                      </w:r>
                      <w:r w:rsidRPr="006F1CAE">
                        <w:rPr>
                          <w:rFonts w:asciiTheme="majorBidi" w:hAnsiTheme="majorBidi" w:cstheme="majorBidi"/>
                          <w:bCs/>
                          <w:i/>
                          <w:iCs/>
                          <w:vertAlign w:val="subscript"/>
                        </w:rPr>
                        <w:t>X</w:t>
                      </w:r>
                      <w:r w:rsidRPr="006F1CAE">
                        <w:rPr>
                          <w:rFonts w:asciiTheme="majorBidi" w:hAnsiTheme="majorBidi" w:cstheme="majorBidi"/>
                          <w:bCs/>
                          <w:i/>
                          <w:iCs/>
                        </w:rPr>
                        <w:t xml:space="preserve"> or TRP</w:t>
                      </w:r>
                      <w:r w:rsidRPr="006F1CAE">
                        <w:rPr>
                          <w:rFonts w:asciiTheme="majorBidi" w:hAnsiTheme="majorBidi" w:cstheme="majorBidi"/>
                          <w:bCs/>
                          <w:i/>
                          <w:iCs/>
                          <w:vertAlign w:val="subscript"/>
                        </w:rPr>
                        <w:t>Y</w:t>
                      </w:r>
                      <w:r w:rsidRPr="006F1CAE">
                        <w:rPr>
                          <w:rFonts w:asciiTheme="majorBidi" w:hAnsiTheme="majorBidi" w:cstheme="majorBidi"/>
                          <w:bCs/>
                          <w:i/>
                          <w:iCs/>
                        </w:rPr>
                        <w:t>.”</w:t>
                      </w:r>
                    </w:p>
                    <w:p w14:paraId="36E66F5F" w14:textId="77777777" w:rsidR="007922C2" w:rsidRPr="00C43F00" w:rsidRDefault="007922C2" w:rsidP="00C43F00">
                      <w:pPr>
                        <w:spacing w:after="0"/>
                        <w:jc w:val="both"/>
                        <w:rPr>
                          <w:rFonts w:asciiTheme="majorBidi" w:hAnsiTheme="majorBidi" w:cstheme="majorBidi"/>
                          <w:bCs/>
                          <w:iCs/>
                        </w:rPr>
                      </w:pPr>
                      <w:r w:rsidRPr="006F1CAE">
                        <w:rPr>
                          <w:rFonts w:asciiTheme="majorBidi" w:hAnsiTheme="majorBidi" w:cstheme="majorBidi"/>
                          <w:bCs/>
                          <w:iCs/>
                        </w:rPr>
                        <w:t>Above confirmation does not change power control for the same TRP PDCCH order.</w:t>
                      </w:r>
                    </w:p>
                  </w:txbxContent>
                </v:textbox>
                <w10:wrap type="square"/>
              </v:shape>
            </w:pict>
          </mc:Fallback>
        </mc:AlternateContent>
      </w:r>
      <w:r w:rsidR="00DC720E">
        <w:rPr>
          <w:rFonts w:asciiTheme="majorBidi" w:hAnsiTheme="majorBidi" w:cstheme="majorBidi"/>
          <w:bCs/>
          <w:iCs/>
          <w:sz w:val="22"/>
          <w:szCs w:val="22"/>
          <w:lang w:val="en-GB"/>
        </w:rPr>
        <w:t xml:space="preserve"> </w:t>
      </w:r>
      <w:r w:rsidR="00F65B2A">
        <w:rPr>
          <w:rFonts w:asciiTheme="majorBidi" w:hAnsiTheme="majorBidi" w:cstheme="majorBidi"/>
          <w:bCs/>
          <w:iCs/>
          <w:sz w:val="22"/>
          <w:szCs w:val="22"/>
          <w:lang w:val="en-GB"/>
        </w:rPr>
        <w:t xml:space="preserve"> </w:t>
      </w:r>
      <w:r w:rsidR="0075574E">
        <w:rPr>
          <w:rFonts w:asciiTheme="majorBidi" w:hAnsiTheme="majorBidi" w:cstheme="majorBidi"/>
          <w:bCs/>
          <w:iCs/>
          <w:sz w:val="22"/>
          <w:szCs w:val="22"/>
          <w:lang w:val="en-GB"/>
        </w:rPr>
        <w:t xml:space="preserve"> </w:t>
      </w:r>
    </w:p>
    <w:p w14:paraId="1BD3BB6A" w14:textId="02318361" w:rsidR="007922C2" w:rsidRDefault="00692A5F" w:rsidP="00E70B66">
      <w:pPr>
        <w:spacing w:after="0"/>
        <w:jc w:val="both"/>
        <w:rPr>
          <w:rFonts w:eastAsia="Batang"/>
          <w:bCs/>
          <w:sz w:val="22"/>
          <w:szCs w:val="28"/>
          <w:lang w:val="en-GB"/>
        </w:rPr>
      </w:pPr>
      <w:r>
        <w:rPr>
          <w:rFonts w:eastAsia="Batang"/>
          <w:bCs/>
          <w:sz w:val="22"/>
          <w:szCs w:val="28"/>
          <w:lang w:val="en-GB"/>
        </w:rPr>
        <w:t>For both purposes above</w:t>
      </w:r>
      <w:r w:rsidR="00A26815">
        <w:rPr>
          <w:rFonts w:eastAsia="Batang"/>
          <w:bCs/>
          <w:sz w:val="22"/>
          <w:szCs w:val="28"/>
          <w:lang w:val="en-GB"/>
        </w:rPr>
        <w:t xml:space="preserve">, </w:t>
      </w:r>
      <w:r w:rsidR="00263688">
        <w:rPr>
          <w:rFonts w:eastAsia="Batang"/>
          <w:bCs/>
          <w:sz w:val="22"/>
          <w:szCs w:val="28"/>
          <w:lang w:val="en-GB"/>
        </w:rPr>
        <w:t xml:space="preserve">the </w:t>
      </w:r>
      <w:r w:rsidR="007E4D04">
        <w:rPr>
          <w:rFonts w:eastAsia="Batang"/>
          <w:bCs/>
          <w:sz w:val="22"/>
          <w:szCs w:val="28"/>
          <w:lang w:val="en-GB"/>
        </w:rPr>
        <w:t xml:space="preserve">single bit </w:t>
      </w:r>
      <w:r w:rsidR="00622BFC">
        <w:rPr>
          <w:rFonts w:eastAsia="Batang"/>
          <w:bCs/>
          <w:sz w:val="22"/>
          <w:szCs w:val="28"/>
          <w:lang w:val="en-GB"/>
        </w:rPr>
        <w:t xml:space="preserve">in PDCCH order DCI that is already agreed for inter-cell </w:t>
      </w:r>
      <w:r w:rsidR="0005625F" w:rsidRPr="0005625F">
        <w:rPr>
          <w:rFonts w:eastAsia="Batang"/>
          <w:bCs/>
          <w:sz w:val="22"/>
          <w:szCs w:val="28"/>
          <w:lang w:val="en-GB"/>
        </w:rPr>
        <w:t xml:space="preserve">(currently named as “PCI indicator” in </w:t>
      </w:r>
      <w:r w:rsidR="0005625F">
        <w:rPr>
          <w:rFonts w:eastAsia="Batang"/>
          <w:bCs/>
          <w:sz w:val="22"/>
          <w:szCs w:val="28"/>
          <w:lang w:val="en-GB"/>
        </w:rPr>
        <w:t xml:space="preserve">endorsed CR of </w:t>
      </w:r>
      <w:r w:rsidR="0005625F" w:rsidRPr="0005625F">
        <w:rPr>
          <w:rFonts w:eastAsia="Batang"/>
          <w:bCs/>
          <w:sz w:val="22"/>
          <w:szCs w:val="28"/>
          <w:lang w:val="en-GB"/>
        </w:rPr>
        <w:t>38.212)</w:t>
      </w:r>
      <w:r w:rsidR="00EA43D4">
        <w:rPr>
          <w:rFonts w:eastAsia="Batang"/>
          <w:bCs/>
          <w:sz w:val="22"/>
          <w:szCs w:val="28"/>
          <w:lang w:val="en-GB"/>
        </w:rPr>
        <w:t xml:space="preserve"> can be reused also for intra-cell case.</w:t>
      </w:r>
      <w:r w:rsidR="00FC7C3B">
        <w:rPr>
          <w:rFonts w:eastAsia="Batang"/>
          <w:bCs/>
          <w:sz w:val="22"/>
          <w:szCs w:val="28"/>
          <w:lang w:val="en-GB"/>
        </w:rPr>
        <w:t xml:space="preserve"> Furthermore,</w:t>
      </w:r>
      <w:r w:rsidR="00397518">
        <w:rPr>
          <w:rFonts w:eastAsia="Batang"/>
          <w:bCs/>
          <w:sz w:val="22"/>
          <w:szCs w:val="28"/>
          <w:lang w:val="en-GB"/>
        </w:rPr>
        <w:t xml:space="preserve"> even for inter-cell mTRP,</w:t>
      </w:r>
      <w:r w:rsidR="00FC7C3B">
        <w:rPr>
          <w:rFonts w:eastAsia="Batang"/>
          <w:bCs/>
          <w:sz w:val="22"/>
          <w:szCs w:val="28"/>
          <w:lang w:val="en-GB"/>
        </w:rPr>
        <w:t xml:space="preserve"> </w:t>
      </w:r>
      <w:r w:rsidR="00B266DF">
        <w:rPr>
          <w:rFonts w:eastAsia="Batang"/>
          <w:bCs/>
          <w:sz w:val="22"/>
          <w:szCs w:val="28"/>
          <w:lang w:val="en-GB"/>
        </w:rPr>
        <w:t>the interpretation of the single bit is not currently captured</w:t>
      </w:r>
      <w:r w:rsidR="00840D37">
        <w:rPr>
          <w:rFonts w:eastAsia="Batang"/>
          <w:bCs/>
          <w:sz w:val="22"/>
          <w:szCs w:val="28"/>
          <w:lang w:val="en-GB"/>
        </w:rPr>
        <w:t xml:space="preserve"> </w:t>
      </w:r>
      <w:r w:rsidR="00AF24BA">
        <w:rPr>
          <w:rFonts w:eastAsia="Batang"/>
          <w:bCs/>
          <w:sz w:val="22"/>
          <w:szCs w:val="28"/>
          <w:lang w:val="en-GB"/>
        </w:rPr>
        <w:t xml:space="preserve">yet </w:t>
      </w:r>
      <w:r w:rsidR="00840D37">
        <w:rPr>
          <w:rFonts w:eastAsia="Batang"/>
          <w:bCs/>
          <w:sz w:val="22"/>
          <w:szCs w:val="28"/>
          <w:lang w:val="en-GB"/>
        </w:rPr>
        <w:t>in 38.212 given that the editor would like to see more detailed agreements</w:t>
      </w:r>
      <w:r w:rsidR="00AF24BA">
        <w:rPr>
          <w:rFonts w:eastAsia="Batang"/>
          <w:bCs/>
          <w:sz w:val="22"/>
          <w:szCs w:val="28"/>
          <w:lang w:val="en-GB"/>
        </w:rPr>
        <w:t xml:space="preserve">. </w:t>
      </w:r>
    </w:p>
    <w:p w14:paraId="4089D01E" w14:textId="0201EB5E" w:rsidR="00AF24BA" w:rsidRDefault="00AF24BA" w:rsidP="00E70B66">
      <w:pPr>
        <w:spacing w:after="0"/>
        <w:jc w:val="both"/>
        <w:rPr>
          <w:rFonts w:eastAsia="Batang"/>
          <w:bCs/>
          <w:sz w:val="22"/>
          <w:szCs w:val="28"/>
          <w:lang w:val="en-GB"/>
        </w:rPr>
      </w:pPr>
    </w:p>
    <w:p w14:paraId="1EAF1ED0" w14:textId="2D817895" w:rsidR="00AF24BA" w:rsidRDefault="00AF24BA" w:rsidP="00E70B66">
      <w:pPr>
        <w:spacing w:after="0"/>
        <w:jc w:val="both"/>
        <w:rPr>
          <w:rFonts w:eastAsia="Batang"/>
          <w:bCs/>
          <w:sz w:val="22"/>
          <w:szCs w:val="28"/>
          <w:lang w:val="en-GB"/>
        </w:rPr>
      </w:pPr>
      <w:r>
        <w:rPr>
          <w:rFonts w:eastAsia="Batang"/>
          <w:bCs/>
          <w:sz w:val="22"/>
          <w:szCs w:val="28"/>
          <w:lang w:val="en-GB"/>
        </w:rPr>
        <w:t>Given the discussions above</w:t>
      </w:r>
      <w:r w:rsidR="003A5D0A">
        <w:rPr>
          <w:rFonts w:eastAsia="Batang"/>
          <w:bCs/>
          <w:sz w:val="22"/>
          <w:szCs w:val="28"/>
          <w:lang w:val="en-GB"/>
        </w:rPr>
        <w:t>, we propose the following, which addresses how the single bit in the PDCCH order DCI should be interpreted for both inter-cell and intra-cell mTRP</w:t>
      </w:r>
      <w:r w:rsidR="00C2241C">
        <w:rPr>
          <w:rFonts w:eastAsia="Batang"/>
          <w:bCs/>
          <w:sz w:val="22"/>
          <w:szCs w:val="28"/>
          <w:lang w:val="en-GB"/>
        </w:rPr>
        <w:t xml:space="preserve">, as well as using this single bit for the purpose of </w:t>
      </w:r>
      <w:r w:rsidR="005A3585">
        <w:rPr>
          <w:rFonts w:eastAsia="Batang"/>
          <w:bCs/>
          <w:sz w:val="22"/>
          <w:szCs w:val="28"/>
          <w:lang w:val="en-GB"/>
        </w:rPr>
        <w:t xml:space="preserve">differentiation between same-TRP versus cross-TRP PDCCH order as well as for the purpose of determining the DL reference </w:t>
      </w:r>
      <w:r w:rsidR="00D555BF">
        <w:rPr>
          <w:rFonts w:eastAsia="Batang"/>
          <w:bCs/>
          <w:sz w:val="22"/>
          <w:szCs w:val="28"/>
          <w:lang w:val="en-GB"/>
        </w:rPr>
        <w:t>timing</w:t>
      </w:r>
      <w:r w:rsidR="005A3585">
        <w:rPr>
          <w:rFonts w:eastAsia="Batang"/>
          <w:bCs/>
          <w:sz w:val="22"/>
          <w:szCs w:val="28"/>
          <w:lang w:val="en-GB"/>
        </w:rPr>
        <w:t xml:space="preserve"> for </w:t>
      </w:r>
      <w:r w:rsidR="00D555BF">
        <w:rPr>
          <w:rFonts w:eastAsia="Batang"/>
          <w:bCs/>
          <w:sz w:val="22"/>
          <w:szCs w:val="28"/>
          <w:lang w:val="en-GB"/>
        </w:rPr>
        <w:t>PRACH transmission timing.</w:t>
      </w:r>
    </w:p>
    <w:p w14:paraId="5844F38D" w14:textId="68404056" w:rsidR="0071024C" w:rsidRDefault="0071024C" w:rsidP="00E70B66">
      <w:pPr>
        <w:spacing w:after="0"/>
        <w:jc w:val="both"/>
        <w:rPr>
          <w:rFonts w:eastAsia="Batang"/>
          <w:bCs/>
          <w:sz w:val="22"/>
          <w:szCs w:val="28"/>
          <w:lang w:val="en-GB"/>
        </w:rPr>
      </w:pPr>
    </w:p>
    <w:p w14:paraId="3E5DCF52" w14:textId="24C5E2E1" w:rsidR="00883006" w:rsidRDefault="00B1304C" w:rsidP="00D37670">
      <w:pPr>
        <w:spacing w:after="0"/>
        <w:rPr>
          <w:b/>
          <w:bCs/>
          <w:sz w:val="22"/>
          <w:szCs w:val="22"/>
          <w:lang w:eastAsia="zh-CN"/>
        </w:rPr>
      </w:pPr>
      <w:r w:rsidRPr="00397CC1">
        <w:rPr>
          <w:rFonts w:eastAsia="Batang"/>
          <w:b/>
          <w:sz w:val="22"/>
          <w:szCs w:val="28"/>
          <w:u w:val="single"/>
          <w:lang w:val="en-GB"/>
        </w:rPr>
        <w:t xml:space="preserve">Proposal </w:t>
      </w:r>
      <w:r>
        <w:rPr>
          <w:rFonts w:eastAsia="Batang"/>
          <w:b/>
          <w:sz w:val="22"/>
          <w:szCs w:val="28"/>
          <w:u w:val="single"/>
          <w:lang w:val="en-GB"/>
        </w:rPr>
        <w:t>2</w:t>
      </w:r>
      <w:r w:rsidRPr="00397CC1">
        <w:rPr>
          <w:b/>
          <w:iCs/>
          <w:sz w:val="22"/>
          <w:szCs w:val="18"/>
          <w:lang w:val="en-GB" w:eastAsia="ko-KR"/>
        </w:rPr>
        <w:t xml:space="preserve">: </w:t>
      </w:r>
      <w:r w:rsidR="0071024C" w:rsidRPr="0071024C">
        <w:rPr>
          <w:b/>
          <w:bCs/>
          <w:sz w:val="22"/>
          <w:szCs w:val="22"/>
          <w:lang w:eastAsia="zh-CN"/>
        </w:rPr>
        <w:t xml:space="preserve">For multi-DCI based Multi-TRP operation with two TA enhancement, </w:t>
      </w:r>
    </w:p>
    <w:p w14:paraId="5A4F0083" w14:textId="43C85F07" w:rsidR="00883006" w:rsidRPr="00883006" w:rsidRDefault="00883006" w:rsidP="00D37670">
      <w:pPr>
        <w:numPr>
          <w:ilvl w:val="0"/>
          <w:numId w:val="23"/>
        </w:numPr>
        <w:overflowPunct/>
        <w:autoSpaceDE/>
        <w:autoSpaceDN/>
        <w:adjustRightInd/>
        <w:spacing w:after="0" w:line="276" w:lineRule="auto"/>
        <w:contextualSpacing/>
        <w:textAlignment w:val="auto"/>
        <w:rPr>
          <w:rFonts w:eastAsiaTheme="minorHAnsi"/>
          <w:b/>
          <w:bCs/>
          <w:i/>
          <w:iCs/>
          <w:sz w:val="22"/>
          <w:szCs w:val="22"/>
          <w:lang w:eastAsia="zh-CN"/>
        </w:rPr>
      </w:pPr>
      <w:r>
        <w:rPr>
          <w:b/>
          <w:bCs/>
          <w:sz w:val="22"/>
          <w:szCs w:val="22"/>
          <w:lang w:eastAsia="zh-CN"/>
        </w:rPr>
        <w:t>T</w:t>
      </w:r>
      <w:r w:rsidRPr="0071024C">
        <w:rPr>
          <w:b/>
          <w:bCs/>
          <w:sz w:val="22"/>
          <w:szCs w:val="22"/>
          <w:lang w:eastAsia="zh-CN"/>
        </w:rPr>
        <w:t>he single bit in the PDCCH order DCI (currently named as “PCI indicator” in 38.212) is interpreted as follows</w:t>
      </w:r>
    </w:p>
    <w:p w14:paraId="44A9F89E" w14:textId="2FE75FB2" w:rsidR="0071024C" w:rsidRPr="0071024C" w:rsidRDefault="0071024C" w:rsidP="00295004">
      <w:pPr>
        <w:numPr>
          <w:ilvl w:val="1"/>
          <w:numId w:val="23"/>
        </w:numPr>
        <w:overflowPunct/>
        <w:autoSpaceDE/>
        <w:autoSpaceDN/>
        <w:adjustRightInd/>
        <w:spacing w:after="0" w:line="276" w:lineRule="auto"/>
        <w:contextualSpacing/>
        <w:textAlignment w:val="auto"/>
        <w:rPr>
          <w:rFonts w:eastAsiaTheme="minorHAnsi"/>
          <w:b/>
          <w:bCs/>
          <w:i/>
          <w:iCs/>
          <w:sz w:val="22"/>
          <w:szCs w:val="22"/>
          <w:lang w:eastAsia="zh-CN"/>
        </w:rPr>
      </w:pPr>
      <w:r w:rsidRPr="0071024C">
        <w:rPr>
          <w:b/>
          <w:bCs/>
          <w:sz w:val="22"/>
          <w:szCs w:val="22"/>
          <w:lang w:eastAsia="zh-CN"/>
        </w:rPr>
        <w:t xml:space="preserve">If </w:t>
      </w:r>
      <w:r w:rsidRPr="0071024C">
        <w:rPr>
          <w:b/>
          <w:bCs/>
          <w:i/>
          <w:iCs/>
          <w:sz w:val="22"/>
          <w:szCs w:val="22"/>
          <w:lang w:eastAsia="zh-CN"/>
        </w:rPr>
        <w:t xml:space="preserve">SSB-MTC-AddtionalPCI </w:t>
      </w:r>
      <w:r w:rsidRPr="0071024C">
        <w:rPr>
          <w:b/>
          <w:bCs/>
          <w:sz w:val="22"/>
          <w:szCs w:val="22"/>
          <w:lang w:eastAsia="zh-CN"/>
        </w:rPr>
        <w:t xml:space="preserve">is configured and an </w:t>
      </w:r>
      <w:r w:rsidRPr="0071024C">
        <w:rPr>
          <w:b/>
          <w:bCs/>
          <w:i/>
          <w:iCs/>
          <w:sz w:val="22"/>
          <w:szCs w:val="22"/>
          <w:lang w:eastAsia="zh-CN"/>
        </w:rPr>
        <w:t>additionalPCI</w:t>
      </w:r>
      <w:r w:rsidRPr="0071024C">
        <w:rPr>
          <w:b/>
          <w:bCs/>
          <w:sz w:val="22"/>
          <w:szCs w:val="22"/>
          <w:lang w:eastAsia="zh-CN"/>
        </w:rPr>
        <w:t xml:space="preserve"> is associated with active TCI states (inter-cell case): </w:t>
      </w:r>
    </w:p>
    <w:p w14:paraId="47B3A1C9" w14:textId="77777777" w:rsidR="0071024C" w:rsidRPr="0071024C" w:rsidRDefault="0071024C" w:rsidP="00295004">
      <w:pPr>
        <w:pStyle w:val="ListParagraph"/>
        <w:numPr>
          <w:ilvl w:val="2"/>
          <w:numId w:val="23"/>
        </w:numPr>
        <w:spacing w:line="252" w:lineRule="auto"/>
        <w:contextualSpacing/>
        <w:jc w:val="both"/>
        <w:rPr>
          <w:rFonts w:ascii="Times New Roman" w:hAnsi="Times New Roman"/>
          <w:b/>
          <w:bCs/>
          <w:i/>
          <w:iCs/>
          <w:lang w:eastAsia="zh-CN"/>
        </w:rPr>
      </w:pPr>
      <w:r w:rsidRPr="0071024C">
        <w:rPr>
          <w:rFonts w:ascii="Times New Roman" w:hAnsi="Times New Roman"/>
          <w:b/>
          <w:bCs/>
          <w:lang w:eastAsia="zh-CN"/>
        </w:rPr>
        <w:t>Value 0 indicates that the RACH transmission is associated with the serving cell PCI</w:t>
      </w:r>
    </w:p>
    <w:p w14:paraId="5152746F" w14:textId="77777777" w:rsidR="0071024C" w:rsidRPr="0071024C" w:rsidRDefault="0071024C" w:rsidP="00295004">
      <w:pPr>
        <w:pStyle w:val="ListParagraph"/>
        <w:numPr>
          <w:ilvl w:val="2"/>
          <w:numId w:val="23"/>
        </w:numPr>
        <w:spacing w:line="252" w:lineRule="auto"/>
        <w:contextualSpacing/>
        <w:jc w:val="both"/>
        <w:rPr>
          <w:rStyle w:val="Emphasis"/>
          <w:rFonts w:ascii="Times New Roman" w:hAnsi="Times New Roman"/>
        </w:rPr>
      </w:pPr>
      <w:r w:rsidRPr="0071024C">
        <w:rPr>
          <w:rFonts w:ascii="Times New Roman" w:hAnsi="Times New Roman"/>
          <w:b/>
          <w:bCs/>
          <w:lang w:eastAsia="zh-CN"/>
        </w:rPr>
        <w:t xml:space="preserve">Value 1 indicates that the PRACH transmission is associated with the </w:t>
      </w:r>
      <w:r w:rsidRPr="0071024C">
        <w:rPr>
          <w:rFonts w:ascii="Times New Roman" w:hAnsi="Times New Roman"/>
          <w:b/>
          <w:bCs/>
          <w:i/>
          <w:iCs/>
          <w:lang w:eastAsia="zh-CN"/>
        </w:rPr>
        <w:t>additionalPCI</w:t>
      </w:r>
    </w:p>
    <w:p w14:paraId="6349AD0D" w14:textId="77777777" w:rsidR="0071024C" w:rsidRPr="0071024C" w:rsidRDefault="0071024C" w:rsidP="00295004">
      <w:pPr>
        <w:numPr>
          <w:ilvl w:val="1"/>
          <w:numId w:val="23"/>
        </w:numPr>
        <w:overflowPunct/>
        <w:autoSpaceDE/>
        <w:autoSpaceDN/>
        <w:adjustRightInd/>
        <w:spacing w:after="0" w:line="276" w:lineRule="auto"/>
        <w:contextualSpacing/>
        <w:textAlignment w:val="auto"/>
        <w:rPr>
          <w:rStyle w:val="Emphasis"/>
          <w:b/>
          <w:bCs/>
          <w:i w:val="0"/>
          <w:iCs w:val="0"/>
          <w:sz w:val="22"/>
          <w:szCs w:val="22"/>
          <w:lang w:eastAsia="zh-CN"/>
        </w:rPr>
      </w:pPr>
      <w:r w:rsidRPr="0071024C">
        <w:rPr>
          <w:rStyle w:val="Emphasis"/>
          <w:b/>
          <w:bCs/>
          <w:i w:val="0"/>
          <w:iCs w:val="0"/>
          <w:sz w:val="22"/>
          <w:szCs w:val="22"/>
          <w:lang w:eastAsia="zh-CN"/>
        </w:rPr>
        <w:t>Otherwise (intra-cell case)</w:t>
      </w:r>
      <w:r w:rsidRPr="0071024C">
        <w:rPr>
          <w:sz w:val="22"/>
          <w:szCs w:val="22"/>
          <w:lang w:eastAsia="zh-CN"/>
        </w:rPr>
        <w:t xml:space="preserve"> </w:t>
      </w:r>
    </w:p>
    <w:p w14:paraId="1C80A6B0" w14:textId="77777777" w:rsidR="0071024C" w:rsidRPr="0071024C" w:rsidRDefault="0071024C" w:rsidP="00295004">
      <w:pPr>
        <w:pStyle w:val="ListParagraph"/>
        <w:numPr>
          <w:ilvl w:val="2"/>
          <w:numId w:val="23"/>
        </w:numPr>
        <w:spacing w:line="252" w:lineRule="auto"/>
        <w:contextualSpacing/>
        <w:jc w:val="both"/>
        <w:rPr>
          <w:rStyle w:val="Emphasis"/>
          <w:rFonts w:ascii="Times New Roman" w:hAnsi="Times New Roman"/>
          <w:b/>
          <w:bCs/>
          <w:i w:val="0"/>
          <w:iCs w:val="0"/>
          <w:lang w:eastAsia="zh-CN"/>
        </w:rPr>
      </w:pPr>
      <w:r w:rsidRPr="0071024C">
        <w:rPr>
          <w:rStyle w:val="Emphasis"/>
          <w:rFonts w:ascii="Times New Roman" w:hAnsi="Times New Roman"/>
          <w:b/>
          <w:bCs/>
          <w:i w:val="0"/>
          <w:iCs w:val="0"/>
          <w:lang w:eastAsia="zh-CN"/>
        </w:rPr>
        <w:t>Value 0 indicates that the PRACH transmission is associated with the first TAG</w:t>
      </w:r>
    </w:p>
    <w:p w14:paraId="0E87750C" w14:textId="1D6986DD" w:rsidR="0071024C" w:rsidRDefault="0071024C" w:rsidP="00295004">
      <w:pPr>
        <w:pStyle w:val="ListParagraph"/>
        <w:numPr>
          <w:ilvl w:val="2"/>
          <w:numId w:val="23"/>
        </w:numPr>
        <w:spacing w:line="252" w:lineRule="auto"/>
        <w:contextualSpacing/>
        <w:jc w:val="both"/>
        <w:rPr>
          <w:rStyle w:val="Emphasis"/>
          <w:rFonts w:ascii="Times New Roman" w:hAnsi="Times New Roman"/>
          <w:b/>
          <w:bCs/>
          <w:i w:val="0"/>
          <w:iCs w:val="0"/>
          <w:lang w:eastAsia="zh-CN"/>
        </w:rPr>
      </w:pPr>
      <w:r w:rsidRPr="0071024C">
        <w:rPr>
          <w:rStyle w:val="Emphasis"/>
          <w:rFonts w:ascii="Times New Roman" w:hAnsi="Times New Roman"/>
          <w:b/>
          <w:bCs/>
          <w:i w:val="0"/>
          <w:iCs w:val="0"/>
          <w:lang w:eastAsia="zh-CN"/>
        </w:rPr>
        <w:t>Value 1 indicates the PRACH transmission is associated with the second TAG.</w:t>
      </w:r>
    </w:p>
    <w:p w14:paraId="74679B68" w14:textId="5ECE8F13" w:rsidR="00C65F3B" w:rsidRDefault="005619A6" w:rsidP="00C65F3B">
      <w:pPr>
        <w:pStyle w:val="ListParagraph"/>
        <w:numPr>
          <w:ilvl w:val="0"/>
          <w:numId w:val="23"/>
        </w:numPr>
        <w:spacing w:line="252" w:lineRule="auto"/>
        <w:contextualSpacing/>
        <w:jc w:val="both"/>
        <w:rPr>
          <w:rStyle w:val="Emphasis"/>
          <w:rFonts w:ascii="Times New Roman" w:hAnsi="Times New Roman"/>
          <w:b/>
          <w:bCs/>
          <w:i w:val="0"/>
          <w:iCs w:val="0"/>
          <w:lang w:eastAsia="zh-CN"/>
        </w:rPr>
      </w:pPr>
      <w:r>
        <w:rPr>
          <w:rStyle w:val="Emphasis"/>
          <w:rFonts w:ascii="Times New Roman" w:hAnsi="Times New Roman"/>
          <w:b/>
          <w:bCs/>
          <w:i w:val="0"/>
          <w:iCs w:val="0"/>
          <w:lang w:eastAsia="zh-CN"/>
        </w:rPr>
        <w:t>The single</w:t>
      </w:r>
      <w:r w:rsidR="00805528">
        <w:rPr>
          <w:rStyle w:val="Emphasis"/>
          <w:rFonts w:ascii="Times New Roman" w:hAnsi="Times New Roman"/>
          <w:b/>
          <w:bCs/>
          <w:i w:val="0"/>
          <w:iCs w:val="0"/>
          <w:lang w:eastAsia="zh-CN"/>
        </w:rPr>
        <w:t xml:space="preserve"> bit indication in PDCCH order DCI is used to determine</w:t>
      </w:r>
      <w:r w:rsidR="00295004">
        <w:rPr>
          <w:rStyle w:val="Emphasis"/>
          <w:rFonts w:ascii="Times New Roman" w:hAnsi="Times New Roman"/>
          <w:b/>
          <w:bCs/>
          <w:i w:val="0"/>
          <w:iCs w:val="0"/>
          <w:lang w:eastAsia="zh-CN"/>
        </w:rPr>
        <w:t>:</w:t>
      </w:r>
    </w:p>
    <w:p w14:paraId="3553AF09" w14:textId="1FAA1AFD" w:rsidR="00295004" w:rsidRDefault="00AD06A9" w:rsidP="00295004">
      <w:pPr>
        <w:pStyle w:val="ListParagraph"/>
        <w:numPr>
          <w:ilvl w:val="1"/>
          <w:numId w:val="23"/>
        </w:numPr>
        <w:spacing w:line="252" w:lineRule="auto"/>
        <w:contextualSpacing/>
        <w:jc w:val="both"/>
        <w:rPr>
          <w:rStyle w:val="Emphasis"/>
          <w:rFonts w:ascii="Times New Roman" w:hAnsi="Times New Roman"/>
          <w:b/>
          <w:bCs/>
          <w:i w:val="0"/>
          <w:iCs w:val="0"/>
          <w:lang w:eastAsia="zh-CN"/>
        </w:rPr>
      </w:pPr>
      <w:r>
        <w:rPr>
          <w:rStyle w:val="Emphasis"/>
          <w:rFonts w:ascii="Times New Roman" w:hAnsi="Times New Roman"/>
          <w:b/>
          <w:bCs/>
          <w:i w:val="0"/>
          <w:iCs w:val="0"/>
          <w:lang w:eastAsia="zh-CN"/>
        </w:rPr>
        <w:t xml:space="preserve">Whether </w:t>
      </w:r>
      <w:r w:rsidR="006A64D8">
        <w:rPr>
          <w:rStyle w:val="Emphasis"/>
          <w:rFonts w:ascii="Times New Roman" w:hAnsi="Times New Roman"/>
          <w:b/>
          <w:bCs/>
          <w:i w:val="0"/>
          <w:iCs w:val="0"/>
          <w:lang w:eastAsia="zh-CN"/>
        </w:rPr>
        <w:t>PRACH power control is based on legacy rule (same-TRP PDCCH order) or is based on new rule (cross-TRP PDCCH order).</w:t>
      </w:r>
    </w:p>
    <w:p w14:paraId="008836F2" w14:textId="28E8B1E6" w:rsidR="00263688" w:rsidRPr="00DF4631" w:rsidRDefault="00A94012" w:rsidP="00DF4631">
      <w:pPr>
        <w:pStyle w:val="ListParagraph"/>
        <w:numPr>
          <w:ilvl w:val="1"/>
          <w:numId w:val="23"/>
        </w:numPr>
        <w:spacing w:line="252" w:lineRule="auto"/>
        <w:contextualSpacing/>
        <w:jc w:val="both"/>
        <w:rPr>
          <w:rFonts w:ascii="Times New Roman" w:hAnsi="Times New Roman"/>
          <w:b/>
          <w:bCs/>
          <w:lang w:eastAsia="zh-CN"/>
        </w:rPr>
      </w:pPr>
      <w:r>
        <w:rPr>
          <w:rFonts w:asciiTheme="majorBidi" w:hAnsiTheme="majorBidi" w:cstheme="majorBidi"/>
          <w:b/>
          <w:iCs/>
          <w:szCs w:val="18"/>
          <w:lang w:val="en-GB" w:eastAsia="ko-KR"/>
        </w:rPr>
        <w:t>DL reference timing for PRACH transmission timing.</w:t>
      </w:r>
    </w:p>
    <w:p w14:paraId="0440C7AF" w14:textId="1CD22BAA" w:rsidR="00753B38" w:rsidRPr="00E77150" w:rsidRDefault="00753B38" w:rsidP="00753B38">
      <w:pPr>
        <w:pStyle w:val="Heading1"/>
        <w:jc w:val="both"/>
        <w:rPr>
          <w:rFonts w:asciiTheme="majorBidi" w:hAnsiTheme="majorBidi" w:cstheme="majorBidi"/>
          <w:bCs/>
        </w:rPr>
      </w:pPr>
      <w:r>
        <w:rPr>
          <w:rFonts w:asciiTheme="majorBidi" w:hAnsiTheme="majorBidi" w:cstheme="majorBidi"/>
          <w:bCs/>
        </w:rPr>
        <w:t xml:space="preserve">Issue 3: </w:t>
      </w:r>
      <w:r w:rsidR="0088164D">
        <w:rPr>
          <w:rFonts w:asciiTheme="majorBidi" w:hAnsiTheme="majorBidi" w:cstheme="majorBidi"/>
          <w:bCs/>
        </w:rPr>
        <w:t>Differentiation between mTRP and LTM</w:t>
      </w:r>
      <w:r>
        <w:rPr>
          <w:rFonts w:asciiTheme="majorBidi" w:hAnsiTheme="majorBidi" w:cstheme="majorBidi"/>
          <w:bCs/>
        </w:rPr>
        <w:t xml:space="preserve">   </w:t>
      </w:r>
    </w:p>
    <w:p w14:paraId="1238A960" w14:textId="2AEEF9FC" w:rsidR="00E70B66" w:rsidRDefault="0088164D" w:rsidP="0071377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RAN1 #114bis, </w:t>
      </w:r>
      <w:r w:rsidR="0050723B">
        <w:rPr>
          <w:rFonts w:asciiTheme="majorBidi" w:hAnsiTheme="majorBidi" w:cstheme="majorBidi"/>
          <w:bCs/>
          <w:iCs/>
          <w:sz w:val="22"/>
          <w:szCs w:val="22"/>
          <w:lang w:val="en-GB"/>
        </w:rPr>
        <w:t xml:space="preserve">there were some discussions about </w:t>
      </w:r>
      <w:r w:rsidR="00023898">
        <w:rPr>
          <w:rFonts w:asciiTheme="majorBidi" w:hAnsiTheme="majorBidi" w:cstheme="majorBidi"/>
          <w:bCs/>
          <w:iCs/>
          <w:sz w:val="22"/>
          <w:szCs w:val="22"/>
          <w:lang w:val="en-GB"/>
        </w:rPr>
        <w:t xml:space="preserve">whether both features of “multi-DCI based multi-TRP with 2 TAs” and LTM can be configured </w:t>
      </w:r>
      <w:r w:rsidR="00C820DE">
        <w:rPr>
          <w:rFonts w:asciiTheme="majorBidi" w:hAnsiTheme="majorBidi" w:cstheme="majorBidi"/>
          <w:bCs/>
          <w:iCs/>
          <w:sz w:val="22"/>
          <w:szCs w:val="22"/>
          <w:lang w:val="en-GB"/>
        </w:rPr>
        <w:t>simultaneously, and how to differentiate between them when a PDCCH order DCI is received.</w:t>
      </w:r>
      <w:r w:rsidR="00967B46">
        <w:rPr>
          <w:rFonts w:asciiTheme="majorBidi" w:hAnsiTheme="majorBidi" w:cstheme="majorBidi"/>
          <w:bCs/>
          <w:iCs/>
          <w:sz w:val="22"/>
          <w:szCs w:val="22"/>
          <w:lang w:val="en-GB"/>
        </w:rPr>
        <w:t xml:space="preserve"> </w:t>
      </w:r>
      <w:r w:rsidR="00CD3804">
        <w:rPr>
          <w:rFonts w:asciiTheme="majorBidi" w:hAnsiTheme="majorBidi" w:cstheme="majorBidi"/>
          <w:bCs/>
          <w:iCs/>
          <w:sz w:val="22"/>
          <w:szCs w:val="22"/>
          <w:lang w:val="en-GB"/>
        </w:rPr>
        <w:t>For this, we do not think any complicated mechanism would be needed</w:t>
      </w:r>
      <w:r w:rsidR="00A20D84">
        <w:rPr>
          <w:rFonts w:asciiTheme="majorBidi" w:hAnsiTheme="majorBidi" w:cstheme="majorBidi"/>
          <w:bCs/>
          <w:iCs/>
          <w:sz w:val="22"/>
          <w:szCs w:val="22"/>
          <w:lang w:val="en-GB"/>
        </w:rPr>
        <w:t>. Specifically, any of the options below can work</w:t>
      </w:r>
      <w:r w:rsidR="006A6241">
        <w:rPr>
          <w:rFonts w:asciiTheme="majorBidi" w:hAnsiTheme="majorBidi" w:cstheme="majorBidi"/>
          <w:bCs/>
          <w:iCs/>
          <w:sz w:val="22"/>
          <w:szCs w:val="22"/>
          <w:lang w:val="en-GB"/>
        </w:rPr>
        <w:t>.</w:t>
      </w:r>
    </w:p>
    <w:p w14:paraId="604BE782" w14:textId="105AB5F1" w:rsidR="00A20D84" w:rsidRDefault="00A20D84" w:rsidP="00A20D84">
      <w:pPr>
        <w:pStyle w:val="ListParagraph"/>
        <w:numPr>
          <w:ilvl w:val="0"/>
          <w:numId w:val="24"/>
        </w:numPr>
        <w:jc w:val="both"/>
        <w:rPr>
          <w:rFonts w:asciiTheme="majorBidi" w:hAnsiTheme="majorBidi" w:cstheme="majorBidi"/>
          <w:bCs/>
          <w:iCs/>
          <w:lang w:val="en-GB"/>
        </w:rPr>
      </w:pPr>
      <w:r>
        <w:rPr>
          <w:rFonts w:asciiTheme="majorBidi" w:hAnsiTheme="majorBidi" w:cstheme="majorBidi"/>
          <w:bCs/>
          <w:iCs/>
          <w:lang w:val="en-GB"/>
        </w:rPr>
        <w:lastRenderedPageBreak/>
        <w:t>Option 1</w:t>
      </w:r>
      <w:r w:rsidR="00100707">
        <w:rPr>
          <w:rFonts w:asciiTheme="majorBidi" w:hAnsiTheme="majorBidi" w:cstheme="majorBidi"/>
          <w:bCs/>
          <w:iCs/>
          <w:lang w:val="en-GB"/>
        </w:rPr>
        <w:t xml:space="preserve"> (no spec impact)</w:t>
      </w:r>
      <w:r>
        <w:rPr>
          <w:rFonts w:asciiTheme="majorBidi" w:hAnsiTheme="majorBidi" w:cstheme="majorBidi"/>
          <w:bCs/>
          <w:iCs/>
          <w:lang w:val="en-GB"/>
        </w:rPr>
        <w:t xml:space="preserve">: </w:t>
      </w:r>
      <w:r w:rsidR="00100707">
        <w:rPr>
          <w:rFonts w:asciiTheme="majorBidi" w:hAnsiTheme="majorBidi" w:cstheme="majorBidi"/>
          <w:bCs/>
          <w:iCs/>
          <w:lang w:val="en-GB"/>
        </w:rPr>
        <w:t xml:space="preserve">Conclude that </w:t>
      </w:r>
      <w:r w:rsidR="0056237F">
        <w:rPr>
          <w:rFonts w:asciiTheme="majorBidi" w:hAnsiTheme="majorBidi" w:cstheme="majorBidi"/>
          <w:bCs/>
          <w:iCs/>
          <w:lang w:val="en-GB"/>
        </w:rPr>
        <w:t xml:space="preserve">if both multi-DCI based </w:t>
      </w:r>
      <w:r w:rsidR="00E33969">
        <w:rPr>
          <w:rFonts w:asciiTheme="majorBidi" w:hAnsiTheme="majorBidi" w:cstheme="majorBidi"/>
          <w:bCs/>
          <w:iCs/>
          <w:lang w:val="en-GB"/>
        </w:rPr>
        <w:t xml:space="preserve">multi-TRP with 2 TAs and LTM are configured, </w:t>
      </w:r>
      <w:r w:rsidR="006C06B1">
        <w:rPr>
          <w:rFonts w:asciiTheme="majorBidi" w:hAnsiTheme="majorBidi" w:cstheme="majorBidi"/>
          <w:bCs/>
          <w:iCs/>
          <w:lang w:val="en-GB"/>
        </w:rPr>
        <w:t xml:space="preserve">PDCCH order DCI can either tigger PRACH </w:t>
      </w:r>
      <w:r w:rsidR="00E33969">
        <w:rPr>
          <w:rFonts w:asciiTheme="majorBidi" w:hAnsiTheme="majorBidi" w:cstheme="majorBidi"/>
          <w:bCs/>
          <w:iCs/>
          <w:lang w:val="en-GB"/>
        </w:rPr>
        <w:t xml:space="preserve">associated with the second TAG (for mTRP) or </w:t>
      </w:r>
      <w:r w:rsidR="00C25FE3">
        <w:rPr>
          <w:rFonts w:asciiTheme="majorBidi" w:hAnsiTheme="majorBidi" w:cstheme="majorBidi"/>
          <w:bCs/>
          <w:iCs/>
          <w:lang w:val="en-GB"/>
        </w:rPr>
        <w:t>associated with a candidate cell (for LTM), but not both.</w:t>
      </w:r>
    </w:p>
    <w:p w14:paraId="03029088" w14:textId="566E9EEA" w:rsidR="00C25FE3" w:rsidRDefault="00C25FE3" w:rsidP="00A20D84">
      <w:pPr>
        <w:pStyle w:val="ListParagraph"/>
        <w:numPr>
          <w:ilvl w:val="0"/>
          <w:numId w:val="24"/>
        </w:numPr>
        <w:jc w:val="both"/>
        <w:rPr>
          <w:rFonts w:asciiTheme="majorBidi" w:hAnsiTheme="majorBidi" w:cstheme="majorBidi"/>
          <w:bCs/>
          <w:iCs/>
          <w:lang w:val="en-GB"/>
        </w:rPr>
      </w:pPr>
      <w:r>
        <w:rPr>
          <w:rFonts w:asciiTheme="majorBidi" w:hAnsiTheme="majorBidi" w:cstheme="majorBidi"/>
          <w:bCs/>
          <w:iCs/>
          <w:lang w:val="en-GB"/>
        </w:rPr>
        <w:t>Option 2: Specification to capture</w:t>
      </w:r>
      <w:r w:rsidR="008B1049">
        <w:rPr>
          <w:rFonts w:asciiTheme="majorBidi" w:hAnsiTheme="majorBidi" w:cstheme="majorBidi"/>
          <w:bCs/>
          <w:iCs/>
          <w:lang w:val="en-GB"/>
        </w:rPr>
        <w:t xml:space="preserve"> “UE does not expect both </w:t>
      </w:r>
      <w:r w:rsidR="00E8366F">
        <w:rPr>
          <w:rFonts w:asciiTheme="majorBidi" w:hAnsiTheme="majorBidi" w:cstheme="majorBidi"/>
          <w:bCs/>
          <w:iCs/>
          <w:lang w:val="en-GB"/>
        </w:rPr>
        <w:t>“</w:t>
      </w:r>
      <w:r w:rsidR="00051FA4">
        <w:rPr>
          <w:rFonts w:asciiTheme="majorBidi" w:hAnsiTheme="majorBidi" w:cstheme="majorBidi"/>
          <w:bCs/>
          <w:iCs/>
          <w:lang w:val="en-GB"/>
        </w:rPr>
        <w:t>C</w:t>
      </w:r>
      <w:r w:rsidR="008B1049">
        <w:rPr>
          <w:rFonts w:asciiTheme="majorBidi" w:hAnsiTheme="majorBidi" w:cstheme="majorBidi"/>
          <w:bCs/>
          <w:iCs/>
          <w:lang w:val="en-GB"/>
        </w:rPr>
        <w:t>ell indicator</w:t>
      </w:r>
      <w:r w:rsidR="00E8366F">
        <w:rPr>
          <w:rFonts w:asciiTheme="majorBidi" w:hAnsiTheme="majorBidi" w:cstheme="majorBidi"/>
          <w:bCs/>
          <w:iCs/>
          <w:lang w:val="en-GB"/>
        </w:rPr>
        <w:t>”</w:t>
      </w:r>
      <w:r w:rsidR="008B1049">
        <w:rPr>
          <w:rFonts w:asciiTheme="majorBidi" w:hAnsiTheme="majorBidi" w:cstheme="majorBidi"/>
          <w:bCs/>
          <w:iCs/>
          <w:lang w:val="en-GB"/>
        </w:rPr>
        <w:t xml:space="preserve"> field and </w:t>
      </w:r>
      <w:r w:rsidR="00452C21">
        <w:rPr>
          <w:rFonts w:asciiTheme="majorBidi" w:hAnsiTheme="majorBidi" w:cstheme="majorBidi"/>
          <w:bCs/>
          <w:iCs/>
          <w:lang w:val="en-GB"/>
        </w:rPr>
        <w:t>“PCI indicator” field of the PDCCH order DCI to be non-zero”</w:t>
      </w:r>
    </w:p>
    <w:p w14:paraId="5B3947EA" w14:textId="690BE1C7" w:rsidR="00E8366F" w:rsidRDefault="00E8366F" w:rsidP="00A20D84">
      <w:pPr>
        <w:pStyle w:val="ListParagraph"/>
        <w:numPr>
          <w:ilvl w:val="0"/>
          <w:numId w:val="24"/>
        </w:numPr>
        <w:jc w:val="both"/>
        <w:rPr>
          <w:rFonts w:asciiTheme="majorBidi" w:hAnsiTheme="majorBidi" w:cstheme="majorBidi"/>
          <w:bCs/>
          <w:iCs/>
          <w:lang w:val="en-GB"/>
        </w:rPr>
      </w:pPr>
      <w:r>
        <w:rPr>
          <w:rFonts w:asciiTheme="majorBidi" w:hAnsiTheme="majorBidi" w:cstheme="majorBidi"/>
          <w:bCs/>
          <w:iCs/>
          <w:lang w:val="en-GB"/>
        </w:rPr>
        <w:t xml:space="preserve">Option 3: Specification to capture that if </w:t>
      </w:r>
      <w:r w:rsidR="00A65788">
        <w:rPr>
          <w:rFonts w:asciiTheme="majorBidi" w:hAnsiTheme="majorBidi" w:cstheme="majorBidi"/>
          <w:bCs/>
          <w:iCs/>
          <w:lang w:val="en-GB"/>
        </w:rPr>
        <w:t>the “Cell indicator” field in the PDCCH order DCI indicates a non-zero value, UE ignores the “PCI indicator” field.</w:t>
      </w:r>
    </w:p>
    <w:p w14:paraId="07E16EAE" w14:textId="2CF910E4" w:rsidR="00EF3BD7" w:rsidRDefault="00EF3BD7" w:rsidP="00EF3BD7">
      <w:pPr>
        <w:jc w:val="both"/>
        <w:rPr>
          <w:rFonts w:asciiTheme="majorBidi" w:hAnsiTheme="majorBidi" w:cstheme="majorBidi"/>
          <w:bCs/>
          <w:iCs/>
          <w:lang w:val="en-GB"/>
        </w:rPr>
      </w:pPr>
    </w:p>
    <w:p w14:paraId="6A09B439" w14:textId="409DAED9" w:rsidR="006A6241" w:rsidRDefault="006A6241" w:rsidP="00272913">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3</w:t>
      </w:r>
      <w:r w:rsidRPr="00397CC1">
        <w:rPr>
          <w:b/>
          <w:iCs/>
          <w:sz w:val="22"/>
          <w:szCs w:val="18"/>
          <w:lang w:val="en-GB" w:eastAsia="ko-KR"/>
        </w:rPr>
        <w:t>:</w:t>
      </w:r>
      <w:r>
        <w:rPr>
          <w:b/>
          <w:iCs/>
          <w:sz w:val="22"/>
          <w:szCs w:val="18"/>
          <w:lang w:val="en-GB" w:eastAsia="ko-KR"/>
        </w:rPr>
        <w:t xml:space="preserve"> To di</w:t>
      </w:r>
      <w:r w:rsidR="007078E5">
        <w:rPr>
          <w:b/>
          <w:iCs/>
          <w:sz w:val="22"/>
          <w:szCs w:val="18"/>
          <w:lang w:val="en-GB" w:eastAsia="ko-KR"/>
        </w:rPr>
        <w:t>fferentiate between multi-DCI based multi-TRP with 2 TAs</w:t>
      </w:r>
      <w:r w:rsidR="000D685B">
        <w:rPr>
          <w:b/>
          <w:iCs/>
          <w:sz w:val="22"/>
          <w:szCs w:val="18"/>
          <w:lang w:val="en-GB" w:eastAsia="ko-KR"/>
        </w:rPr>
        <w:t xml:space="preserve"> and LTM, support one of the following options:</w:t>
      </w:r>
    </w:p>
    <w:p w14:paraId="53A5ADA6" w14:textId="727D987E" w:rsidR="000D685B" w:rsidRPr="00272913" w:rsidRDefault="000D685B" w:rsidP="00272913">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t xml:space="preserve">Option 1 (no spec impact): Conclude that if both multi-DCI based multi-TRP with 2 TAs and LTM are configured, PDCCH order DCI can either tigger PRACH associated with the second TAG (for mTRP) or </w:t>
      </w:r>
      <w:r w:rsidR="00272913" w:rsidRPr="00272913">
        <w:rPr>
          <w:rFonts w:asciiTheme="majorBidi" w:hAnsiTheme="majorBidi" w:cstheme="majorBidi"/>
          <w:b/>
          <w:iCs/>
          <w:lang w:val="en-GB"/>
        </w:rPr>
        <w:t xml:space="preserve">trigger PRACH </w:t>
      </w:r>
      <w:r w:rsidRPr="00272913">
        <w:rPr>
          <w:rFonts w:asciiTheme="majorBidi" w:hAnsiTheme="majorBidi" w:cstheme="majorBidi"/>
          <w:b/>
          <w:iCs/>
          <w:lang w:val="en-GB"/>
        </w:rPr>
        <w:t>associated with a candidate cell (for LTM), but not both.</w:t>
      </w:r>
    </w:p>
    <w:p w14:paraId="1603A20F" w14:textId="308B4940" w:rsidR="000D685B" w:rsidRPr="00272913" w:rsidRDefault="000D685B" w:rsidP="00272913">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t xml:space="preserve">Option 2: Specification to capture “UE does not expect both “Cell indicator” field and “PCI indicator” field of the PDCCH order DCI to </w:t>
      </w:r>
      <w:r w:rsidR="00306713">
        <w:rPr>
          <w:rFonts w:asciiTheme="majorBidi" w:hAnsiTheme="majorBidi" w:cstheme="majorBidi"/>
          <w:b/>
          <w:iCs/>
          <w:lang w:val="en-GB"/>
        </w:rPr>
        <w:t>indicate a</w:t>
      </w:r>
      <w:r w:rsidRPr="00272913">
        <w:rPr>
          <w:rFonts w:asciiTheme="majorBidi" w:hAnsiTheme="majorBidi" w:cstheme="majorBidi"/>
          <w:b/>
          <w:iCs/>
          <w:lang w:val="en-GB"/>
        </w:rPr>
        <w:t xml:space="preserve"> non-zero</w:t>
      </w:r>
      <w:r w:rsidR="00306713">
        <w:rPr>
          <w:rFonts w:asciiTheme="majorBidi" w:hAnsiTheme="majorBidi" w:cstheme="majorBidi"/>
          <w:b/>
          <w:iCs/>
          <w:lang w:val="en-GB"/>
        </w:rPr>
        <w:t xml:space="preserve"> value</w:t>
      </w:r>
      <w:r w:rsidRPr="00272913">
        <w:rPr>
          <w:rFonts w:asciiTheme="majorBidi" w:hAnsiTheme="majorBidi" w:cstheme="majorBidi"/>
          <w:b/>
          <w:iCs/>
          <w:lang w:val="en-GB"/>
        </w:rPr>
        <w:t>”</w:t>
      </w:r>
    </w:p>
    <w:p w14:paraId="246CCA61" w14:textId="77777777" w:rsidR="000D685B" w:rsidRPr="00272913" w:rsidRDefault="000D685B" w:rsidP="00272913">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t>Option 3: Specification to capture that if the “Cell indicator” field in the PDCCH order DCI indicates a non-zero value, UE ignores the “PCI indicator” field.</w:t>
      </w:r>
    </w:p>
    <w:p w14:paraId="377C517A" w14:textId="27765CF7" w:rsidR="00E77150" w:rsidRPr="00E77150" w:rsidRDefault="00E77150" w:rsidP="00E77150">
      <w:pPr>
        <w:pStyle w:val="Heading1"/>
        <w:jc w:val="both"/>
        <w:rPr>
          <w:rFonts w:asciiTheme="majorBidi" w:hAnsiTheme="majorBidi" w:cstheme="majorBidi"/>
          <w:bCs/>
        </w:rPr>
      </w:pPr>
      <w:r>
        <w:rPr>
          <w:rFonts w:asciiTheme="majorBidi" w:hAnsiTheme="majorBidi" w:cstheme="majorBidi"/>
          <w:bCs/>
        </w:rPr>
        <w:t xml:space="preserve">Issue </w:t>
      </w:r>
      <w:r w:rsidR="00753B38">
        <w:rPr>
          <w:rFonts w:asciiTheme="majorBidi" w:hAnsiTheme="majorBidi" w:cstheme="majorBidi"/>
          <w:bCs/>
        </w:rPr>
        <w:t>4</w:t>
      </w:r>
      <w:r>
        <w:rPr>
          <w:rFonts w:asciiTheme="majorBidi" w:hAnsiTheme="majorBidi" w:cstheme="majorBidi"/>
          <w:bCs/>
        </w:rPr>
        <w:t xml:space="preserve">: </w:t>
      </w:r>
      <w:r w:rsidR="008F5A22">
        <w:rPr>
          <w:rFonts w:asciiTheme="majorBidi" w:hAnsiTheme="majorBidi" w:cstheme="majorBidi"/>
          <w:bCs/>
        </w:rPr>
        <w:t xml:space="preserve">Non-ideal backhaul for </w:t>
      </w:r>
      <w:r w:rsidR="00952661">
        <w:rPr>
          <w:rFonts w:asciiTheme="majorBidi" w:hAnsiTheme="majorBidi" w:cstheme="majorBidi"/>
          <w:bCs/>
        </w:rPr>
        <w:t xml:space="preserve">inter-cell </w:t>
      </w:r>
      <w:r>
        <w:rPr>
          <w:rFonts w:asciiTheme="majorBidi" w:hAnsiTheme="majorBidi" w:cstheme="majorBidi"/>
          <w:bCs/>
        </w:rPr>
        <w:t xml:space="preserve">  </w:t>
      </w:r>
    </w:p>
    <w:p w14:paraId="60524CCA" w14:textId="0DA4C92E" w:rsidR="007D5C9D" w:rsidRDefault="00952661" w:rsidP="00BD187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w:t>
      </w:r>
      <w:r w:rsidR="00460BDC">
        <w:rPr>
          <w:rFonts w:asciiTheme="majorBidi" w:hAnsiTheme="majorBidi" w:cstheme="majorBidi"/>
          <w:bCs/>
          <w:iCs/>
          <w:sz w:val="22"/>
          <w:szCs w:val="22"/>
          <w:lang w:val="en-GB"/>
        </w:rPr>
        <w:t>or inter-cell</w:t>
      </w:r>
      <w:r w:rsidR="009D4478">
        <w:rPr>
          <w:rFonts w:asciiTheme="majorBidi" w:hAnsiTheme="majorBidi" w:cstheme="majorBidi"/>
          <w:bCs/>
          <w:iCs/>
          <w:sz w:val="22"/>
          <w:szCs w:val="22"/>
          <w:lang w:val="en-GB"/>
        </w:rPr>
        <w:t xml:space="preserve"> mTRP, </w:t>
      </w:r>
      <w:r w:rsidR="00DA3B4E">
        <w:rPr>
          <w:rFonts w:asciiTheme="majorBidi" w:hAnsiTheme="majorBidi" w:cstheme="majorBidi"/>
          <w:bCs/>
          <w:iCs/>
          <w:sz w:val="22"/>
          <w:szCs w:val="22"/>
          <w:lang w:val="en-GB"/>
        </w:rPr>
        <w:t xml:space="preserve">if PRACH is toward </w:t>
      </w:r>
      <w:r>
        <w:rPr>
          <w:rFonts w:asciiTheme="majorBidi" w:hAnsiTheme="majorBidi" w:cstheme="majorBidi"/>
          <w:bCs/>
          <w:iCs/>
          <w:sz w:val="22"/>
          <w:szCs w:val="22"/>
          <w:lang w:val="en-GB"/>
        </w:rPr>
        <w:t>the</w:t>
      </w:r>
      <w:r w:rsidR="00DA3B4E">
        <w:rPr>
          <w:rFonts w:asciiTheme="majorBidi" w:hAnsiTheme="majorBidi" w:cstheme="majorBidi"/>
          <w:bCs/>
          <w:iCs/>
          <w:sz w:val="22"/>
          <w:szCs w:val="22"/>
          <w:lang w:val="en-GB"/>
        </w:rPr>
        <w:t xml:space="preserve"> additional PCI</w:t>
      </w:r>
      <w:r w:rsidR="005140B5">
        <w:rPr>
          <w:rFonts w:asciiTheme="majorBidi" w:hAnsiTheme="majorBidi" w:cstheme="majorBidi"/>
          <w:bCs/>
          <w:iCs/>
          <w:sz w:val="22"/>
          <w:szCs w:val="22"/>
          <w:lang w:val="en-GB"/>
        </w:rPr>
        <w:t xml:space="preserve">, </w:t>
      </w:r>
      <w:r w:rsidR="004967EB">
        <w:rPr>
          <w:rFonts w:asciiTheme="majorBidi" w:hAnsiTheme="majorBidi" w:cstheme="majorBidi"/>
          <w:bCs/>
          <w:iCs/>
          <w:sz w:val="22"/>
          <w:szCs w:val="22"/>
          <w:lang w:val="en-GB"/>
        </w:rPr>
        <w:t>given that RAR is always transmitted from the serving cell PCI</w:t>
      </w:r>
      <w:r w:rsidR="00DB35FE">
        <w:rPr>
          <w:rFonts w:asciiTheme="majorBidi" w:hAnsiTheme="majorBidi" w:cstheme="majorBidi"/>
          <w:bCs/>
          <w:iCs/>
          <w:sz w:val="22"/>
          <w:szCs w:val="22"/>
          <w:lang w:val="en-GB"/>
        </w:rPr>
        <w:t xml:space="preserve">, </w:t>
      </w:r>
      <w:r w:rsidR="00DB35FE" w:rsidRPr="00DB35FE">
        <w:rPr>
          <w:rFonts w:asciiTheme="majorBidi" w:hAnsiTheme="majorBidi" w:cstheme="majorBidi"/>
          <w:bCs/>
          <w:iCs/>
          <w:sz w:val="22"/>
          <w:szCs w:val="22"/>
          <w:lang w:val="en-GB"/>
        </w:rPr>
        <w:t>additional delay for starting the MSG2 response window would be needed to accommodate the non-ideal backhaul between two TRPs</w:t>
      </w:r>
      <w:r w:rsidR="00DB35FE">
        <w:rPr>
          <w:rFonts w:asciiTheme="majorBidi" w:hAnsiTheme="majorBidi" w:cstheme="majorBidi"/>
          <w:bCs/>
          <w:iCs/>
          <w:sz w:val="22"/>
          <w:szCs w:val="22"/>
          <w:lang w:val="en-GB"/>
        </w:rPr>
        <w:t>.</w:t>
      </w:r>
    </w:p>
    <w:p w14:paraId="560D0BAE" w14:textId="53D96AC3" w:rsidR="00496D67" w:rsidRDefault="00E76220" w:rsidP="00496D67">
      <w:pPr>
        <w:spacing w:after="0"/>
        <w:jc w:val="both"/>
        <w:rPr>
          <w:b/>
          <w:iCs/>
          <w:sz w:val="22"/>
          <w:szCs w:val="18"/>
          <w:lang w:val="en-GB" w:eastAsia="ko-KR"/>
        </w:rPr>
      </w:pPr>
      <w:r w:rsidRPr="00397CC1">
        <w:rPr>
          <w:rFonts w:eastAsia="Batang"/>
          <w:b/>
          <w:sz w:val="22"/>
          <w:szCs w:val="28"/>
          <w:u w:val="single"/>
          <w:lang w:val="en-GB"/>
        </w:rPr>
        <w:t xml:space="preserve">Proposal </w:t>
      </w:r>
      <w:r w:rsidR="007244E6">
        <w:rPr>
          <w:rFonts w:eastAsia="Batang"/>
          <w:b/>
          <w:sz w:val="22"/>
          <w:szCs w:val="28"/>
          <w:u w:val="single"/>
          <w:lang w:val="en-GB"/>
        </w:rPr>
        <w:t>4</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w:t>
      </w:r>
      <w:r w:rsidRPr="00397CC1">
        <w:rPr>
          <w:b/>
          <w:iCs/>
          <w:sz w:val="22"/>
          <w:szCs w:val="18"/>
          <w:lang w:val="en-GB" w:eastAsia="ko-KR"/>
        </w:rPr>
        <w:t>:</w:t>
      </w:r>
    </w:p>
    <w:p w14:paraId="4D85EE4C" w14:textId="6CF4A0FE" w:rsidR="00496D67" w:rsidRPr="00EC2EF2" w:rsidRDefault="00496D67" w:rsidP="00AE2AD4">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w:t>
      </w:r>
      <w:r w:rsidR="00793BAE">
        <w:rPr>
          <w:rFonts w:ascii="Times New Roman" w:hAnsi="Times New Roman"/>
          <w:b/>
          <w:iCs/>
          <w:szCs w:val="18"/>
          <w:lang w:val="en-GB" w:eastAsia="ko-KR"/>
        </w:rPr>
        <w:t>the</w:t>
      </w:r>
      <w:r w:rsidRPr="00E04286">
        <w:rPr>
          <w:rFonts w:ascii="Times New Roman" w:hAnsi="Times New Roman"/>
          <w:b/>
          <w:iCs/>
          <w:szCs w:val="18"/>
          <w:lang w:val="en-GB" w:eastAsia="ko-KR"/>
        </w:rPr>
        <w:t xml:space="preserve"> </w:t>
      </w:r>
      <w:r w:rsidR="00DA0F67">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Pr>
          <w:rFonts w:ascii="Times New Roman" w:hAnsi="Times New Roman"/>
          <w:b/>
          <w:iCs/>
          <w:szCs w:val="18"/>
          <w:lang w:val="en-GB" w:eastAsia="ko-KR"/>
        </w:rPr>
        <w:t xml:space="preserve">, </w:t>
      </w:r>
      <w:r w:rsidR="00DA0F67">
        <w:rPr>
          <w:rFonts w:ascii="Times New Roman" w:hAnsi="Times New Roman"/>
          <w:b/>
          <w:iCs/>
          <w:szCs w:val="18"/>
          <w:lang w:val="en-GB" w:eastAsia="ko-KR"/>
        </w:rPr>
        <w:t xml:space="preserve">support to configure </w:t>
      </w:r>
      <w:r w:rsidR="00DC120B">
        <w:rPr>
          <w:rFonts w:ascii="Times New Roman" w:hAnsi="Times New Roman"/>
          <w:b/>
          <w:iCs/>
          <w:szCs w:val="18"/>
          <w:lang w:val="en-GB" w:eastAsia="ko-KR"/>
        </w:rPr>
        <w:t xml:space="preserve">an </w:t>
      </w:r>
      <w:r w:rsidR="00DA0F67" w:rsidRPr="00395000">
        <w:rPr>
          <w:rFonts w:asciiTheme="majorBidi" w:hAnsiTheme="majorBidi" w:cstheme="majorBidi"/>
          <w:b/>
          <w:iCs/>
          <w:lang w:val="en-GB"/>
        </w:rPr>
        <w:t>additional delay</w:t>
      </w:r>
      <w:r w:rsidR="00265A61">
        <w:rPr>
          <w:rFonts w:asciiTheme="majorBidi" w:hAnsiTheme="majorBidi" w:cstheme="majorBidi"/>
          <w:b/>
          <w:iCs/>
          <w:lang w:val="en-GB"/>
        </w:rPr>
        <w:t>/timer</w:t>
      </w:r>
      <w:r w:rsidR="00DA0F67" w:rsidRPr="00395000">
        <w:rPr>
          <w:rFonts w:asciiTheme="majorBidi" w:hAnsiTheme="majorBidi" w:cstheme="majorBidi"/>
          <w:b/>
          <w:iCs/>
          <w:lang w:val="en-GB"/>
        </w:rPr>
        <w:t xml:space="preserve"> for starting the </w:t>
      </w:r>
      <w:r w:rsidR="00DA0F67">
        <w:rPr>
          <w:rFonts w:asciiTheme="majorBidi" w:hAnsiTheme="majorBidi" w:cstheme="majorBidi"/>
          <w:b/>
          <w:iCs/>
          <w:lang w:val="en-GB"/>
        </w:rPr>
        <w:t>RAR</w:t>
      </w:r>
      <w:r w:rsidR="00DA0F67" w:rsidRPr="00395000">
        <w:rPr>
          <w:rFonts w:asciiTheme="majorBidi" w:hAnsiTheme="majorBidi" w:cstheme="majorBidi"/>
          <w:b/>
          <w:iCs/>
          <w:lang w:val="en-GB"/>
        </w:rPr>
        <w:t xml:space="preserve"> response window to accommodate the non-ideal backhaul</w:t>
      </w:r>
      <w:r w:rsidR="00174FD1">
        <w:rPr>
          <w:rFonts w:asciiTheme="majorBidi" w:hAnsiTheme="majorBidi" w:cstheme="majorBidi"/>
          <w:b/>
          <w:iCs/>
          <w:lang w:val="en-GB"/>
        </w:rPr>
        <w:t>.</w:t>
      </w:r>
    </w:p>
    <w:p w14:paraId="0956FF6D" w14:textId="77777777" w:rsidR="00496D67" w:rsidRDefault="00496D67" w:rsidP="00BD1876">
      <w:pPr>
        <w:jc w:val="both"/>
        <w:rPr>
          <w:rFonts w:asciiTheme="majorBidi" w:hAnsiTheme="majorBidi" w:cstheme="majorBidi"/>
          <w:bCs/>
          <w:iCs/>
          <w:sz w:val="22"/>
          <w:szCs w:val="22"/>
          <w:lang w:val="en-GB"/>
        </w:rPr>
      </w:pPr>
    </w:p>
    <w:p w14:paraId="29C94996" w14:textId="606D4B4F" w:rsidR="007244E6" w:rsidRPr="00E77150" w:rsidRDefault="007244E6" w:rsidP="007244E6">
      <w:pPr>
        <w:pStyle w:val="Heading1"/>
        <w:jc w:val="both"/>
        <w:rPr>
          <w:rFonts w:asciiTheme="majorBidi" w:hAnsiTheme="majorBidi" w:cstheme="majorBidi"/>
          <w:bCs/>
        </w:rPr>
      </w:pPr>
      <w:r>
        <w:rPr>
          <w:rFonts w:asciiTheme="majorBidi" w:hAnsiTheme="majorBidi" w:cstheme="majorBidi"/>
          <w:bCs/>
        </w:rPr>
        <w:t xml:space="preserve">Issue </w:t>
      </w:r>
      <w:r w:rsidR="00753B38">
        <w:rPr>
          <w:rFonts w:asciiTheme="majorBidi" w:hAnsiTheme="majorBidi" w:cstheme="majorBidi"/>
          <w:bCs/>
        </w:rPr>
        <w:t>5</w:t>
      </w:r>
      <w:r>
        <w:rPr>
          <w:rFonts w:asciiTheme="majorBidi" w:hAnsiTheme="majorBidi" w:cstheme="majorBidi"/>
          <w:bCs/>
        </w:rPr>
        <w:t xml:space="preserve">: </w:t>
      </w:r>
      <w:r w:rsidR="007E5949">
        <w:rPr>
          <w:rFonts w:asciiTheme="majorBidi" w:hAnsiTheme="majorBidi" w:cstheme="majorBidi"/>
          <w:bCs/>
        </w:rPr>
        <w:t>Closed loop reset for power control after PRACH</w:t>
      </w:r>
      <w:r>
        <w:rPr>
          <w:rFonts w:asciiTheme="majorBidi" w:hAnsiTheme="majorBidi" w:cstheme="majorBidi"/>
          <w:bCs/>
        </w:rPr>
        <w:t xml:space="preserve">   </w:t>
      </w:r>
    </w:p>
    <w:p w14:paraId="5D70AA42" w14:textId="30B0F28E" w:rsidR="00044EBC" w:rsidRPr="00D37621" w:rsidRDefault="00E22AD8" w:rsidP="008C5F0D">
      <w:pPr>
        <w:jc w:val="both"/>
        <w:rPr>
          <w:bCs/>
          <w:iCs/>
          <w:sz w:val="22"/>
          <w:szCs w:val="22"/>
          <w:lang w:val="en-GB" w:eastAsia="ko-KR"/>
        </w:rPr>
      </w:pPr>
      <w:r w:rsidRPr="00D37621">
        <w:rPr>
          <w:bCs/>
          <w:iCs/>
          <w:sz w:val="22"/>
          <w:szCs w:val="22"/>
          <w:lang w:val="en-GB" w:eastAsia="ko-KR"/>
        </w:rPr>
        <w:t xml:space="preserve">In existing specification, </w:t>
      </w:r>
      <w:r w:rsidR="00535D05" w:rsidRPr="00D37621">
        <w:rPr>
          <w:bCs/>
          <w:iCs/>
          <w:sz w:val="22"/>
          <w:szCs w:val="22"/>
          <w:lang w:val="en-GB" w:eastAsia="ko-KR"/>
        </w:rPr>
        <w:t xml:space="preserve">the closed loop power control adjustment state for </w:t>
      </w:r>
      <m:oMath>
        <m:r>
          <w:rPr>
            <w:rFonts w:ascii="Cambria Math" w:hAnsi="Cambria Math"/>
            <w:sz w:val="22"/>
            <w:szCs w:val="22"/>
          </w:rPr>
          <m:t>l=0</m:t>
        </m:r>
      </m:oMath>
      <w:r w:rsidR="00535D05" w:rsidRPr="00D37621">
        <w:rPr>
          <w:sz w:val="22"/>
          <w:szCs w:val="22"/>
        </w:rPr>
        <w:t xml:space="preserve"> (the first closed loop) </w:t>
      </w:r>
      <w:r w:rsidR="00DD385C" w:rsidRPr="00D37621">
        <w:rPr>
          <w:sz w:val="22"/>
          <w:szCs w:val="22"/>
        </w:rPr>
        <w:t xml:space="preserve">for PUSCH/PUCCH </w:t>
      </w:r>
      <w:r w:rsidR="00535D05" w:rsidRPr="00D37621">
        <w:rPr>
          <w:sz w:val="22"/>
          <w:szCs w:val="22"/>
        </w:rPr>
        <w:t>is reset</w:t>
      </w:r>
      <w:r w:rsidR="00BD3589" w:rsidRPr="00D37621">
        <w:rPr>
          <w:sz w:val="22"/>
          <w:szCs w:val="22"/>
        </w:rPr>
        <w:t xml:space="preserve"> any time after receiving a RAR (see the text copied below </w:t>
      </w:r>
      <w:r w:rsidR="00DD385C" w:rsidRPr="00D37621">
        <w:rPr>
          <w:sz w:val="22"/>
          <w:szCs w:val="22"/>
        </w:rPr>
        <w:t xml:space="preserve">for PUSCH </w:t>
      </w:r>
      <w:r w:rsidR="00BD3589" w:rsidRPr="00D37621">
        <w:rPr>
          <w:sz w:val="22"/>
          <w:szCs w:val="22"/>
        </w:rPr>
        <w:t>from 38</w:t>
      </w:r>
      <w:r w:rsidR="00DD385C" w:rsidRPr="00D37621">
        <w:rPr>
          <w:sz w:val="22"/>
          <w:szCs w:val="22"/>
        </w:rPr>
        <w:t>.213 Section 7</w:t>
      </w:r>
      <w:r w:rsidR="00AA4A9E" w:rsidRPr="00D37621">
        <w:rPr>
          <w:sz w:val="22"/>
          <w:szCs w:val="22"/>
        </w:rPr>
        <w:t>.1.1):</w:t>
      </w:r>
      <w:r w:rsidR="00DD385C" w:rsidRPr="00D37621">
        <w:rPr>
          <w:sz w:val="22"/>
          <w:szCs w:val="22"/>
        </w:rPr>
        <w:t xml:space="preserve"> </w:t>
      </w:r>
    </w:p>
    <w:p w14:paraId="284202E9" w14:textId="3B8E8452" w:rsidR="00484EA7" w:rsidRDefault="00484EA7" w:rsidP="008C5F0D">
      <w:pPr>
        <w:jc w:val="both"/>
        <w:rPr>
          <w:bCs/>
          <w:iCs/>
          <w:sz w:val="22"/>
          <w:szCs w:val="18"/>
          <w:lang w:val="en-GB" w:eastAsia="ko-KR"/>
        </w:rPr>
      </w:pPr>
      <w:r>
        <w:rPr>
          <w:noProof/>
        </w:rPr>
        <mc:AlternateContent>
          <mc:Choice Requires="wps">
            <w:drawing>
              <wp:anchor distT="0" distB="0" distL="114300" distR="114300" simplePos="0" relativeHeight="251663360" behindDoc="0" locked="0" layoutInCell="1" allowOverlap="1" wp14:anchorId="657718AD" wp14:editId="24FA8B5A">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4FDE17" w14:textId="77777777" w:rsidR="00484EA7" w:rsidRPr="00021303" w:rsidRDefault="00484EA7" w:rsidP="00484EA7">
                            <w:pPr>
                              <w:pStyle w:val="B2"/>
                              <w:spacing w:after="0"/>
                              <w:ind w:hanging="288"/>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or a MsgA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C081D0D" w14:textId="77777777" w:rsidR="00484EA7" w:rsidRPr="00B916EC" w:rsidRDefault="00484EA7" w:rsidP="00484EA7">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2886198A" w14:textId="40A10EEE" w:rsidR="00484EA7" w:rsidRPr="00484EA7" w:rsidRDefault="00484EA7" w:rsidP="00484EA7">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7718AD" id="Text Box 10" o:spid="_x0000_s1029"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A3/kjPgIAAIEEAAAOAAAAAAAAAAAA&#10;AAAAAC4CAABkcnMvZTJvRG9jLnhtbFBLAQItABQABgAIAAAAIQC3DAMI1wAAAAUBAAAPAAAAAAAA&#10;AAAAAAAAAJgEAABkcnMvZG93bnJldi54bWxQSwUGAAAAAAQABADzAAAAnAUAAAAA&#10;" filled="f" strokeweight=".5pt">
                <v:textbox style="mso-fit-shape-to-text:t">
                  <w:txbxContent>
                    <w:p w14:paraId="7D4FDE17" w14:textId="77777777" w:rsidR="00484EA7" w:rsidRPr="00021303" w:rsidRDefault="00484EA7" w:rsidP="00484EA7">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7C081D0D" w14:textId="77777777" w:rsidR="00484EA7" w:rsidRPr="00B916EC" w:rsidRDefault="00484EA7" w:rsidP="00484EA7">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2886198A" w14:textId="40A10EEE" w:rsidR="00484EA7" w:rsidRPr="00484EA7" w:rsidRDefault="00484EA7" w:rsidP="00484EA7">
                      <w:pPr>
                        <w:pStyle w:val="B4"/>
                        <w:spacing w:after="0"/>
                        <w:ind w:hanging="288"/>
                        <w:rPr>
                          <w:bCs/>
                          <w:iCs/>
                          <w:sz w:val="22"/>
                          <w:szCs w:val="18"/>
                          <w:lang w:val="en-GB" w:eastAsia="ko-KR"/>
                        </w:rPr>
                      </w:pPr>
                      <w:r>
                        <w:t>-</w:t>
                      </w:r>
                      <w:r>
                        <w:tab/>
                        <w:t>…</w:t>
                      </w:r>
                    </w:p>
                  </w:txbxContent>
                </v:textbox>
                <w10:wrap type="square"/>
              </v:shape>
            </w:pict>
          </mc:Fallback>
        </mc:AlternateContent>
      </w:r>
    </w:p>
    <w:p w14:paraId="73C77D58" w14:textId="58722A65" w:rsidR="00AA4A9E" w:rsidRDefault="00AA4A9E" w:rsidP="00C8773C">
      <w:pPr>
        <w:jc w:val="both"/>
        <w:rPr>
          <w:bCs/>
          <w:sz w:val="22"/>
          <w:szCs w:val="18"/>
          <w:lang w:val="en-GB" w:eastAsia="ko-KR"/>
        </w:rPr>
      </w:pPr>
      <w:r>
        <w:rPr>
          <w:bCs/>
          <w:iCs/>
          <w:sz w:val="22"/>
          <w:szCs w:val="18"/>
          <w:lang w:val="en-GB" w:eastAsia="ko-KR"/>
        </w:rPr>
        <w:t xml:space="preserve">In the case of </w:t>
      </w:r>
      <w:r w:rsidR="00413224">
        <w:rPr>
          <w:bCs/>
          <w:iCs/>
          <w:sz w:val="22"/>
          <w:szCs w:val="18"/>
          <w:lang w:val="en-GB" w:eastAsia="ko-KR"/>
        </w:rPr>
        <w:t>two TAGs</w:t>
      </w:r>
      <w:r w:rsidR="00436FC5">
        <w:rPr>
          <w:bCs/>
          <w:iCs/>
          <w:sz w:val="22"/>
          <w:szCs w:val="18"/>
          <w:lang w:val="en-GB" w:eastAsia="ko-KR"/>
        </w:rPr>
        <w:t xml:space="preserve">, CFRA based PDCCH order can specifically trigger PRACH toward either the first TRP or the second TRP. When two closed </w:t>
      </w:r>
      <w:r w:rsidR="00B644FE">
        <w:rPr>
          <w:bCs/>
          <w:iCs/>
          <w:sz w:val="22"/>
          <w:szCs w:val="18"/>
          <w:lang w:val="en-GB" w:eastAsia="ko-KR"/>
        </w:rPr>
        <w:t>loop adjustment state</w:t>
      </w:r>
      <w:r w:rsidR="00493F83">
        <w:rPr>
          <w:bCs/>
          <w:iCs/>
          <w:sz w:val="22"/>
          <w:szCs w:val="18"/>
          <w:lang w:val="en-GB" w:eastAsia="ko-KR"/>
        </w:rPr>
        <w:t>s are configured for PUSCH or PUCCH (</w:t>
      </w:r>
      <w:r w:rsidR="00493F83" w:rsidRPr="00493F83">
        <w:rPr>
          <w:bCs/>
          <w:i/>
          <w:iCs/>
          <w:sz w:val="22"/>
          <w:szCs w:val="18"/>
          <w:lang w:eastAsia="ko-KR"/>
        </w:rPr>
        <w:t>twoPUSCH-PC-AdjustmentStates</w:t>
      </w:r>
      <w:r w:rsidR="00493F83">
        <w:rPr>
          <w:bCs/>
          <w:i/>
          <w:iCs/>
          <w:sz w:val="22"/>
          <w:szCs w:val="18"/>
          <w:lang w:eastAsia="ko-KR"/>
        </w:rPr>
        <w:t xml:space="preserve"> </w:t>
      </w:r>
      <w:r w:rsidR="00493F83" w:rsidRPr="00C8773C">
        <w:rPr>
          <w:bCs/>
          <w:sz w:val="22"/>
          <w:szCs w:val="18"/>
          <w:lang w:eastAsia="ko-KR"/>
        </w:rPr>
        <w:t>or</w:t>
      </w:r>
      <w:r w:rsidR="00493F83">
        <w:rPr>
          <w:bCs/>
          <w:i/>
          <w:iCs/>
          <w:sz w:val="22"/>
          <w:szCs w:val="18"/>
          <w:lang w:eastAsia="ko-KR"/>
        </w:rPr>
        <w:t xml:space="preserve"> </w:t>
      </w:r>
      <w:r w:rsidR="00C8773C" w:rsidRPr="00C8773C">
        <w:rPr>
          <w:bCs/>
          <w:i/>
          <w:iCs/>
          <w:sz w:val="22"/>
          <w:szCs w:val="18"/>
          <w:lang w:eastAsia="ko-KR"/>
        </w:rPr>
        <w:t>twoPUCCH-PC-AdjustmentStates</w:t>
      </w:r>
      <w:r w:rsidR="00C8773C">
        <w:rPr>
          <w:bCs/>
          <w:i/>
          <w:iCs/>
          <w:sz w:val="22"/>
          <w:szCs w:val="18"/>
          <w:lang w:eastAsia="ko-KR"/>
        </w:rPr>
        <w:t xml:space="preserve"> </w:t>
      </w:r>
      <w:r w:rsidR="00C8773C" w:rsidRPr="00C8773C">
        <w:rPr>
          <w:bCs/>
          <w:sz w:val="22"/>
          <w:szCs w:val="18"/>
          <w:lang w:eastAsia="ko-KR"/>
        </w:rPr>
        <w:t>are configured</w:t>
      </w:r>
      <w:r w:rsidR="00493F83" w:rsidRPr="00C8773C">
        <w:rPr>
          <w:bCs/>
          <w:sz w:val="22"/>
          <w:szCs w:val="18"/>
          <w:lang w:val="en-GB" w:eastAsia="ko-KR"/>
        </w:rPr>
        <w:t>)</w:t>
      </w:r>
      <w:r w:rsidR="003816EE">
        <w:rPr>
          <w:bCs/>
          <w:sz w:val="22"/>
          <w:szCs w:val="18"/>
          <w:lang w:val="en-GB" w:eastAsia="ko-KR"/>
        </w:rPr>
        <w:t xml:space="preserve">, the resetting mechanism above results in unnecessary interruption if </w:t>
      </w:r>
      <w:r w:rsidR="00A21A3D">
        <w:rPr>
          <w:bCs/>
          <w:sz w:val="22"/>
          <w:szCs w:val="18"/>
          <w:lang w:val="en-GB" w:eastAsia="ko-KR"/>
        </w:rPr>
        <w:t>PRACH is triggered toward the second TRP. This is because, the first closed loop index (</w:t>
      </w:r>
      <m:oMath>
        <m:r>
          <w:rPr>
            <w:rFonts w:ascii="Cambria Math" w:hAnsi="Cambria Math"/>
          </w:rPr>
          <m:t>l=0</m:t>
        </m:r>
      </m:oMath>
      <w:r w:rsidR="00A21A3D">
        <w:rPr>
          <w:bCs/>
          <w:sz w:val="22"/>
          <w:szCs w:val="18"/>
          <w:lang w:val="en-GB" w:eastAsia="ko-KR"/>
        </w:rPr>
        <w:t>) that may be configured for the first TRP is reset instead</w:t>
      </w:r>
      <w:r w:rsidR="001A3734">
        <w:rPr>
          <w:bCs/>
          <w:sz w:val="22"/>
          <w:szCs w:val="18"/>
          <w:lang w:val="en-GB" w:eastAsia="ko-KR"/>
        </w:rPr>
        <w:t xml:space="preserve"> of the second closed loop index (</w:t>
      </w:r>
      <m:oMath>
        <m:r>
          <w:rPr>
            <w:rFonts w:ascii="Cambria Math" w:hAnsi="Cambria Math"/>
          </w:rPr>
          <m:t>l=1</m:t>
        </m:r>
      </m:oMath>
      <w:r w:rsidR="001A3734">
        <w:rPr>
          <w:bCs/>
          <w:sz w:val="22"/>
          <w:szCs w:val="18"/>
          <w:lang w:val="en-GB" w:eastAsia="ko-KR"/>
        </w:rPr>
        <w:t>).</w:t>
      </w:r>
    </w:p>
    <w:p w14:paraId="2ED14400" w14:textId="71443213" w:rsidR="001A3734" w:rsidRDefault="001A3734" w:rsidP="00C8773C">
      <w:pPr>
        <w:jc w:val="both"/>
        <w:rPr>
          <w:bCs/>
          <w:sz w:val="22"/>
          <w:szCs w:val="18"/>
          <w:lang w:val="en-GB" w:eastAsia="ko-KR"/>
        </w:rPr>
      </w:pPr>
      <w:r>
        <w:rPr>
          <w:bCs/>
          <w:sz w:val="22"/>
          <w:szCs w:val="18"/>
          <w:lang w:val="en-GB" w:eastAsia="ko-KR"/>
        </w:rPr>
        <w:t xml:space="preserve">To address this issue, </w:t>
      </w:r>
      <w:r w:rsidR="009B6B7C">
        <w:rPr>
          <w:bCs/>
          <w:sz w:val="22"/>
          <w:szCs w:val="18"/>
          <w:lang w:val="en-GB" w:eastAsia="ko-KR"/>
        </w:rPr>
        <w:t xml:space="preserve">UE needs to determine whether to reset the </w:t>
      </w:r>
      <w:r w:rsidR="0075795A">
        <w:rPr>
          <w:bCs/>
          <w:sz w:val="22"/>
          <w:szCs w:val="18"/>
          <w:lang w:val="en-GB" w:eastAsia="ko-KR"/>
        </w:rPr>
        <w:t xml:space="preserve">first </w:t>
      </w:r>
      <w:r w:rsidR="0075795A">
        <w:rPr>
          <w:bCs/>
          <w:iCs/>
          <w:sz w:val="22"/>
          <w:szCs w:val="18"/>
          <w:lang w:val="en-GB" w:eastAsia="ko-KR"/>
        </w:rPr>
        <w:t xml:space="preserve">closed loop power control adjustment state </w:t>
      </w:r>
      <w:r w:rsidR="0075795A">
        <w:rPr>
          <w:bCs/>
          <w:sz w:val="22"/>
          <w:szCs w:val="18"/>
          <w:lang w:val="en-GB" w:eastAsia="ko-KR"/>
        </w:rPr>
        <w:t>(</w:t>
      </w:r>
      <m:oMath>
        <m:r>
          <w:rPr>
            <w:rFonts w:ascii="Cambria Math" w:hAnsi="Cambria Math"/>
          </w:rPr>
          <m:t>l=0</m:t>
        </m:r>
      </m:oMath>
      <w:r w:rsidR="0075795A">
        <w:rPr>
          <w:bCs/>
          <w:sz w:val="22"/>
          <w:szCs w:val="18"/>
          <w:lang w:val="en-GB" w:eastAsia="ko-KR"/>
        </w:rPr>
        <w:t>)</w:t>
      </w:r>
      <w:r w:rsidR="0075795A">
        <w:rPr>
          <w:bCs/>
          <w:iCs/>
          <w:sz w:val="22"/>
          <w:szCs w:val="18"/>
          <w:lang w:val="en-GB" w:eastAsia="ko-KR"/>
        </w:rPr>
        <w:t xml:space="preserve"> or reset the second closed loop power control adjustment state </w:t>
      </w:r>
      <w:r w:rsidR="0075795A">
        <w:rPr>
          <w:bCs/>
          <w:sz w:val="22"/>
          <w:szCs w:val="18"/>
          <w:lang w:val="en-GB" w:eastAsia="ko-KR"/>
        </w:rPr>
        <w:t>(</w:t>
      </w:r>
      <m:oMath>
        <m:r>
          <w:rPr>
            <w:rFonts w:ascii="Cambria Math" w:hAnsi="Cambria Math"/>
          </w:rPr>
          <m:t>l=1</m:t>
        </m:r>
      </m:oMath>
      <w:r w:rsidR="0075795A">
        <w:rPr>
          <w:bCs/>
          <w:sz w:val="22"/>
          <w:szCs w:val="18"/>
          <w:lang w:val="en-GB" w:eastAsia="ko-KR"/>
        </w:rPr>
        <w:t>) based on whether the PRACH is toward the first TRP or the second TRP</w:t>
      </w:r>
      <w:r w:rsidR="000C1DD1">
        <w:rPr>
          <w:bCs/>
          <w:sz w:val="22"/>
          <w:szCs w:val="18"/>
          <w:lang w:val="en-GB" w:eastAsia="ko-KR"/>
        </w:rPr>
        <w:t xml:space="preserve">. For this, the same indication in PDCCH order that discussed in Issue 1 / 2 can be reused. That is, for inter-cell, </w:t>
      </w:r>
      <w:r w:rsidR="001F7524">
        <w:rPr>
          <w:bCs/>
          <w:sz w:val="22"/>
          <w:szCs w:val="18"/>
          <w:lang w:val="en-GB" w:eastAsia="ko-KR"/>
        </w:rPr>
        <w:t xml:space="preserve">it can be based on the indicated PCI, and for intra-cell, it can be based on </w:t>
      </w:r>
      <w:r w:rsidR="002F4C72">
        <w:rPr>
          <w:bCs/>
          <w:sz w:val="22"/>
          <w:szCs w:val="18"/>
          <w:lang w:val="en-GB" w:eastAsia="ko-KR"/>
        </w:rPr>
        <w:lastRenderedPageBreak/>
        <w:t>the proposed 1-bit indication.</w:t>
      </w:r>
      <w:r w:rsidR="00AD1FDB">
        <w:rPr>
          <w:bCs/>
          <w:sz w:val="22"/>
          <w:szCs w:val="18"/>
          <w:lang w:val="en-GB" w:eastAsia="ko-KR"/>
        </w:rPr>
        <w:t xml:space="preserve"> Alternatively, for intra-cell, the indication in RAR</w:t>
      </w:r>
      <w:r w:rsidR="0081196C">
        <w:rPr>
          <w:bCs/>
          <w:sz w:val="22"/>
          <w:szCs w:val="18"/>
          <w:lang w:val="en-GB" w:eastAsia="ko-KR"/>
        </w:rPr>
        <w:t xml:space="preserve"> (TAG ID) can be also used given that such reset</w:t>
      </w:r>
      <w:r w:rsidR="00B03D30">
        <w:rPr>
          <w:bCs/>
          <w:sz w:val="22"/>
          <w:szCs w:val="18"/>
          <w:lang w:val="en-GB" w:eastAsia="ko-KR"/>
        </w:rPr>
        <w:t xml:space="preserve"> is anyway after </w:t>
      </w:r>
      <w:r w:rsidR="00263D46">
        <w:rPr>
          <w:bCs/>
          <w:sz w:val="22"/>
          <w:szCs w:val="18"/>
          <w:lang w:val="en-GB" w:eastAsia="ko-KR"/>
        </w:rPr>
        <w:t>reception of the RAR.</w:t>
      </w:r>
    </w:p>
    <w:p w14:paraId="64E24CDD" w14:textId="76E7E3A1" w:rsidR="002F4C72" w:rsidRDefault="002F4C72" w:rsidP="002F4C72">
      <w:pPr>
        <w:spacing w:after="0"/>
        <w:jc w:val="both"/>
        <w:rPr>
          <w:b/>
          <w:iCs/>
          <w:sz w:val="22"/>
          <w:szCs w:val="18"/>
          <w:lang w:val="en-GB" w:eastAsia="ko-KR"/>
        </w:rPr>
      </w:pPr>
      <w:r w:rsidRPr="00397CC1">
        <w:rPr>
          <w:rFonts w:eastAsia="Batang"/>
          <w:b/>
          <w:sz w:val="22"/>
          <w:szCs w:val="28"/>
          <w:u w:val="single"/>
          <w:lang w:val="en-GB"/>
        </w:rPr>
        <w:t xml:space="preserve">Proposal </w:t>
      </w:r>
      <w:r w:rsidR="0028717B">
        <w:rPr>
          <w:rFonts w:eastAsia="Batang"/>
          <w:b/>
          <w:sz w:val="22"/>
          <w:szCs w:val="28"/>
          <w:u w:val="single"/>
          <w:lang w:val="en-GB"/>
        </w:rPr>
        <w:t>5</w:t>
      </w:r>
      <w:r w:rsidRPr="00397CC1">
        <w:rPr>
          <w:b/>
          <w:iCs/>
          <w:sz w:val="22"/>
          <w:szCs w:val="18"/>
          <w:lang w:val="en-GB" w:eastAsia="ko-KR"/>
        </w:rPr>
        <w:t xml:space="preserve">: </w:t>
      </w:r>
      <w:r>
        <w:rPr>
          <w:b/>
          <w:iCs/>
          <w:sz w:val="22"/>
          <w:szCs w:val="18"/>
          <w:lang w:val="en-GB" w:eastAsia="ko-KR"/>
        </w:rPr>
        <w:t>For CFRA-based PDCCH order</w:t>
      </w:r>
      <w:r w:rsidR="00D0401E">
        <w:rPr>
          <w:b/>
          <w:iCs/>
          <w:sz w:val="22"/>
          <w:szCs w:val="18"/>
          <w:lang w:val="en-GB" w:eastAsia="ko-KR"/>
        </w:rPr>
        <w:t xml:space="preserve"> in</w:t>
      </w:r>
      <w:r w:rsidRPr="008E7D6A">
        <w:rPr>
          <w:b/>
          <w:iCs/>
          <w:sz w:val="22"/>
          <w:szCs w:val="18"/>
          <w:lang w:val="en-GB" w:eastAsia="ko-KR"/>
        </w:rPr>
        <w:t xml:space="preserve">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w:t>
      </w:r>
      <w:r w:rsidR="00D0401E">
        <w:rPr>
          <w:b/>
          <w:iCs/>
          <w:sz w:val="22"/>
          <w:szCs w:val="18"/>
          <w:lang w:val="en-GB" w:eastAsia="ko-KR"/>
        </w:rPr>
        <w:t xml:space="preserve">, when UE </w:t>
      </w:r>
      <w:r w:rsidR="0014722F">
        <w:rPr>
          <w:b/>
          <w:iCs/>
          <w:sz w:val="22"/>
          <w:szCs w:val="18"/>
          <w:lang w:val="en-GB" w:eastAsia="ko-KR"/>
        </w:rPr>
        <w:t xml:space="preserve">receives a corresponding RAR and </w:t>
      </w:r>
      <w:r w:rsidR="00D0401E">
        <w:rPr>
          <w:b/>
          <w:iCs/>
          <w:sz w:val="22"/>
          <w:szCs w:val="18"/>
          <w:lang w:val="en-GB" w:eastAsia="ko-KR"/>
        </w:rPr>
        <w:t xml:space="preserve">is configured </w:t>
      </w:r>
      <w:r w:rsidR="00D0401E" w:rsidRPr="00D0401E">
        <w:rPr>
          <w:b/>
          <w:iCs/>
          <w:sz w:val="22"/>
          <w:szCs w:val="18"/>
          <w:lang w:val="en-GB" w:eastAsia="ko-KR"/>
        </w:rPr>
        <w:t xml:space="preserve">with </w:t>
      </w:r>
      <w:r w:rsidR="00D0401E" w:rsidRPr="00D0401E">
        <w:rPr>
          <w:b/>
          <w:i/>
          <w:iCs/>
          <w:sz w:val="22"/>
          <w:szCs w:val="18"/>
          <w:lang w:eastAsia="ko-KR"/>
        </w:rPr>
        <w:t xml:space="preserve">twoPUSCH-PC-AdjustmentStates </w:t>
      </w:r>
      <w:r w:rsidR="00D0401E" w:rsidRPr="00D0401E">
        <w:rPr>
          <w:b/>
          <w:sz w:val="22"/>
          <w:szCs w:val="18"/>
          <w:lang w:eastAsia="ko-KR"/>
        </w:rPr>
        <w:t>or</w:t>
      </w:r>
      <w:r w:rsidR="00D0401E" w:rsidRPr="00D0401E">
        <w:rPr>
          <w:b/>
          <w:i/>
          <w:iCs/>
          <w:sz w:val="22"/>
          <w:szCs w:val="18"/>
          <w:lang w:eastAsia="ko-KR"/>
        </w:rPr>
        <w:t xml:space="preserve"> twoPUCCH-PC-AdjustmentStates</w:t>
      </w:r>
    </w:p>
    <w:p w14:paraId="3C4602B2" w14:textId="54B96056" w:rsidR="002F4C72" w:rsidRPr="00B5426B" w:rsidRDefault="00263D46" w:rsidP="00D0401E">
      <w:pPr>
        <w:pStyle w:val="ListParagraph"/>
        <w:numPr>
          <w:ilvl w:val="0"/>
          <w:numId w:val="15"/>
        </w:numPr>
        <w:jc w:val="both"/>
        <w:rPr>
          <w:rFonts w:ascii="Times New Roman" w:hAnsi="Times New Roman"/>
          <w:b/>
          <w:szCs w:val="18"/>
          <w:lang w:val="en-GB" w:eastAsia="ko-KR"/>
        </w:rPr>
      </w:pPr>
      <w:r>
        <w:rPr>
          <w:rFonts w:ascii="Times New Roman" w:hAnsi="Times New Roman"/>
          <w:b/>
          <w:iCs/>
          <w:szCs w:val="18"/>
          <w:lang w:val="en-GB" w:eastAsia="ko-KR"/>
        </w:rPr>
        <w:t xml:space="preserve">The UE determines whether to reset the </w:t>
      </w:r>
      <w:r w:rsidR="00B53F41">
        <w:rPr>
          <w:rFonts w:ascii="Times New Roman" w:hAnsi="Times New Roman"/>
          <w:b/>
          <w:iCs/>
          <w:szCs w:val="18"/>
          <w:lang w:val="en-GB" w:eastAsia="ko-KR"/>
        </w:rPr>
        <w:t xml:space="preserve">closed loop adjustment state </w:t>
      </w:r>
      <w:r w:rsidR="00B53F41" w:rsidRPr="00BD4DF4">
        <w:rPr>
          <w:rFonts w:ascii="Times New Roman" w:hAnsi="Times New Roman"/>
          <w:b/>
          <w:iCs/>
          <w:szCs w:val="18"/>
          <w:lang w:val="en-GB" w:eastAsia="ko-KR"/>
        </w:rPr>
        <w:t xml:space="preserve">for </w:t>
      </w:r>
      <m:oMath>
        <m:r>
          <m:rPr>
            <m:sty m:val="bi"/>
          </m:rPr>
          <w:rPr>
            <w:rFonts w:ascii="Cambria Math" w:hAnsi="Cambria Math"/>
          </w:rPr>
          <m:t>l=0</m:t>
        </m:r>
      </m:oMath>
      <w:r w:rsidR="00BD4DF4" w:rsidRPr="00BD4DF4">
        <w:rPr>
          <w:rFonts w:ascii="Times New Roman" w:hAnsi="Times New Roman"/>
          <w:b/>
        </w:rPr>
        <w:t xml:space="preserve"> or </w:t>
      </w:r>
      <m:oMath>
        <m:r>
          <m:rPr>
            <m:sty m:val="bi"/>
          </m:rPr>
          <w:rPr>
            <w:rFonts w:ascii="Cambria Math" w:hAnsi="Cambria Math"/>
          </w:rPr>
          <m:t>l=1</m:t>
        </m:r>
      </m:oMath>
      <w:r w:rsidR="00BD4DF4" w:rsidRPr="00BD4DF4">
        <w:rPr>
          <w:rFonts w:ascii="Times New Roman" w:hAnsi="Times New Roman"/>
          <w:b/>
        </w:rPr>
        <w:t xml:space="preserve"> based</w:t>
      </w:r>
      <w:r w:rsidR="00F40558">
        <w:rPr>
          <w:rFonts w:ascii="Times New Roman" w:hAnsi="Times New Roman"/>
          <w:b/>
        </w:rPr>
        <w:t xml:space="preserve"> </w:t>
      </w:r>
      <w:r w:rsidR="00677F40">
        <w:rPr>
          <w:rFonts w:ascii="Times New Roman" w:hAnsi="Times New Roman"/>
          <w:b/>
        </w:rPr>
        <w:t xml:space="preserve">on </w:t>
      </w:r>
      <w:r w:rsidR="00F40558">
        <w:rPr>
          <w:rFonts w:ascii="Times New Roman" w:hAnsi="Times New Roman"/>
          <w:b/>
        </w:rPr>
        <w:t xml:space="preserve">whether the PRACH is toward the first TRP or </w:t>
      </w:r>
      <w:r w:rsidR="00677F40">
        <w:rPr>
          <w:rFonts w:ascii="Times New Roman" w:hAnsi="Times New Roman"/>
          <w:b/>
        </w:rPr>
        <w:t xml:space="preserve">the </w:t>
      </w:r>
      <w:r w:rsidR="00F40558">
        <w:rPr>
          <w:rFonts w:ascii="Times New Roman" w:hAnsi="Times New Roman"/>
          <w:b/>
        </w:rPr>
        <w:t>second TRP</w:t>
      </w:r>
      <w:r w:rsidR="00B5426B">
        <w:rPr>
          <w:rFonts w:ascii="Times New Roman" w:hAnsi="Times New Roman"/>
          <w:b/>
        </w:rPr>
        <w:t>.</w:t>
      </w:r>
    </w:p>
    <w:p w14:paraId="0895C7CC" w14:textId="3CB06ADF" w:rsidR="00B5426B" w:rsidRPr="00EB0885" w:rsidRDefault="00B5426B" w:rsidP="00B5426B">
      <w:pPr>
        <w:pStyle w:val="ListParagraph"/>
        <w:numPr>
          <w:ilvl w:val="1"/>
          <w:numId w:val="15"/>
        </w:numPr>
        <w:jc w:val="both"/>
        <w:rPr>
          <w:rFonts w:ascii="Times New Roman" w:hAnsi="Times New Roman"/>
          <w:b/>
          <w:szCs w:val="18"/>
          <w:lang w:val="en-GB" w:eastAsia="ko-KR"/>
        </w:rPr>
      </w:pPr>
      <w:r>
        <w:rPr>
          <w:rFonts w:ascii="Times New Roman" w:hAnsi="Times New Roman"/>
          <w:b/>
        </w:rPr>
        <w:t xml:space="preserve">For inter-cell: </w:t>
      </w:r>
      <w:r w:rsidR="00680944">
        <w:rPr>
          <w:rFonts w:ascii="Times New Roman" w:hAnsi="Times New Roman"/>
          <w:b/>
        </w:rPr>
        <w:t xml:space="preserve">The determination is based on </w:t>
      </w:r>
      <w:r w:rsidR="00EB0885">
        <w:rPr>
          <w:rFonts w:ascii="Times New Roman" w:hAnsi="Times New Roman"/>
          <w:b/>
        </w:rPr>
        <w:t xml:space="preserve">whether </w:t>
      </w:r>
      <w:r w:rsidR="00677F40">
        <w:rPr>
          <w:rFonts w:ascii="Times New Roman" w:hAnsi="Times New Roman"/>
          <w:b/>
        </w:rPr>
        <w:t xml:space="preserve">the </w:t>
      </w:r>
      <w:r w:rsidR="00EB0885">
        <w:rPr>
          <w:rFonts w:ascii="Times New Roman" w:hAnsi="Times New Roman"/>
          <w:b/>
        </w:rPr>
        <w:t xml:space="preserve">serving cell PCI or </w:t>
      </w:r>
      <w:r w:rsidR="00677F40">
        <w:rPr>
          <w:rFonts w:ascii="Times New Roman" w:hAnsi="Times New Roman"/>
          <w:b/>
        </w:rPr>
        <w:t xml:space="preserve">the </w:t>
      </w:r>
      <w:r w:rsidR="00EB0885">
        <w:rPr>
          <w:rFonts w:ascii="Times New Roman" w:hAnsi="Times New Roman"/>
          <w:b/>
        </w:rPr>
        <w:t>additional PCI is indicated in the PDCCH order</w:t>
      </w:r>
      <w:r w:rsidR="00D63740">
        <w:rPr>
          <w:rFonts w:ascii="Times New Roman" w:hAnsi="Times New Roman"/>
          <w:b/>
        </w:rPr>
        <w:t>.</w:t>
      </w:r>
    </w:p>
    <w:p w14:paraId="5E3FC73E" w14:textId="021B5C6F" w:rsidR="00EB0885" w:rsidRPr="00776EB5" w:rsidRDefault="00EB0885" w:rsidP="00B5426B">
      <w:pPr>
        <w:pStyle w:val="ListParagraph"/>
        <w:numPr>
          <w:ilvl w:val="1"/>
          <w:numId w:val="15"/>
        </w:numPr>
        <w:jc w:val="both"/>
        <w:rPr>
          <w:rFonts w:ascii="Times New Roman" w:hAnsi="Times New Roman"/>
          <w:b/>
          <w:szCs w:val="18"/>
          <w:lang w:val="en-GB" w:eastAsia="ko-KR"/>
        </w:rPr>
      </w:pPr>
      <w:r>
        <w:rPr>
          <w:rFonts w:ascii="Times New Roman" w:hAnsi="Times New Roman"/>
          <w:b/>
        </w:rPr>
        <w:t xml:space="preserve">For intra-cell: The determination </w:t>
      </w:r>
      <w:r w:rsidR="007269FB">
        <w:rPr>
          <w:rFonts w:ascii="Times New Roman" w:hAnsi="Times New Roman"/>
          <w:b/>
        </w:rPr>
        <w:t>can be</w:t>
      </w:r>
      <w:r>
        <w:rPr>
          <w:rFonts w:ascii="Times New Roman" w:hAnsi="Times New Roman"/>
          <w:b/>
        </w:rPr>
        <w:t xml:space="preserve"> either based on an indication in PDCCH order</w:t>
      </w:r>
      <w:r w:rsidR="007269FB">
        <w:rPr>
          <w:rFonts w:ascii="Times New Roman" w:hAnsi="Times New Roman"/>
          <w:b/>
        </w:rPr>
        <w:t xml:space="preserve"> (option 1)</w:t>
      </w:r>
      <w:r>
        <w:rPr>
          <w:rFonts w:ascii="Times New Roman" w:hAnsi="Times New Roman"/>
          <w:b/>
        </w:rPr>
        <w:t xml:space="preserve">, or based on the TAG </w:t>
      </w:r>
      <w:r w:rsidR="00D63740">
        <w:rPr>
          <w:rFonts w:ascii="Times New Roman" w:hAnsi="Times New Roman"/>
          <w:b/>
        </w:rPr>
        <w:t>that is indicated in the RAR</w:t>
      </w:r>
      <w:r w:rsidR="007269FB">
        <w:rPr>
          <w:rFonts w:ascii="Times New Roman" w:hAnsi="Times New Roman"/>
          <w:b/>
        </w:rPr>
        <w:t xml:space="preserve"> (option 2)</w:t>
      </w:r>
      <w:r w:rsidR="00D63740">
        <w:rPr>
          <w:rFonts w:ascii="Times New Roman" w:hAnsi="Times New Roman"/>
          <w:b/>
        </w:rPr>
        <w:t>.</w:t>
      </w:r>
    </w:p>
    <w:p w14:paraId="0716C9BB" w14:textId="50DBBE08" w:rsidR="00776EB5" w:rsidRPr="00BD4DF4" w:rsidRDefault="00776EB5" w:rsidP="00776EB5">
      <w:pPr>
        <w:pStyle w:val="ListParagraph"/>
        <w:numPr>
          <w:ilvl w:val="0"/>
          <w:numId w:val="15"/>
        </w:numPr>
        <w:jc w:val="both"/>
        <w:rPr>
          <w:rFonts w:ascii="Times New Roman" w:hAnsi="Times New Roman"/>
          <w:b/>
          <w:szCs w:val="18"/>
          <w:lang w:val="en-GB" w:eastAsia="ko-KR"/>
        </w:rPr>
      </w:pPr>
      <w:r>
        <w:rPr>
          <w:rFonts w:ascii="Times New Roman" w:hAnsi="Times New Roman"/>
          <w:b/>
        </w:rPr>
        <w:t>Note: The initialization after the reset</w:t>
      </w:r>
      <w:r w:rsidR="007F4B77">
        <w:rPr>
          <w:rFonts w:ascii="Times New Roman" w:hAnsi="Times New Roman"/>
          <w:b/>
        </w:rPr>
        <w:t xml:space="preserve"> is similar to legacy.</w:t>
      </w:r>
    </w:p>
    <w:p w14:paraId="38EBFA04" w14:textId="77777777" w:rsidR="00D0401E" w:rsidRDefault="00D0401E" w:rsidP="008C5F0D">
      <w:pPr>
        <w:jc w:val="both"/>
        <w:rPr>
          <w:bCs/>
          <w:iCs/>
          <w:sz w:val="22"/>
          <w:szCs w:val="18"/>
          <w:lang w:val="en-GB" w:eastAsia="ko-KR"/>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8902484" w14:textId="55954756" w:rsidR="009116AB" w:rsidRDefault="006E44D1" w:rsidP="001E424D">
      <w:pPr>
        <w:jc w:val="both"/>
        <w:rPr>
          <w:bCs/>
          <w:iCs/>
          <w:sz w:val="22"/>
          <w:szCs w:val="18"/>
          <w:lang w:val="en-GB" w:eastAsia="ko-KR"/>
        </w:rPr>
      </w:pPr>
      <w:r w:rsidRPr="006E44D1">
        <w:rPr>
          <w:bCs/>
          <w:iCs/>
          <w:sz w:val="22"/>
          <w:szCs w:val="18"/>
          <w:lang w:val="en-GB" w:eastAsia="ko-KR"/>
        </w:rPr>
        <w:t>In this contribution, we proposed:</w:t>
      </w:r>
    </w:p>
    <w:p w14:paraId="7887CD92" w14:textId="77777777" w:rsidR="00295F33" w:rsidRDefault="00295F33" w:rsidP="00295F33">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1</w:t>
      </w:r>
      <w:r w:rsidRPr="00397CC1">
        <w:rPr>
          <w:b/>
          <w:iCs/>
          <w:sz w:val="22"/>
          <w:szCs w:val="18"/>
          <w:lang w:val="en-GB" w:eastAsia="ko-KR"/>
        </w:rPr>
        <w:t xml:space="preserve">: </w:t>
      </w:r>
      <w:r>
        <w:rPr>
          <w:b/>
          <w:iCs/>
          <w:sz w:val="22"/>
          <w:szCs w:val="18"/>
          <w:lang w:val="en-GB" w:eastAsia="ko-KR"/>
        </w:rPr>
        <w:t>F</w:t>
      </w:r>
      <w:r w:rsidRPr="00210F2D">
        <w:rPr>
          <w:b/>
          <w:iCs/>
          <w:sz w:val="22"/>
          <w:szCs w:val="18"/>
          <w:lang w:val="en-GB" w:eastAsia="ko-KR"/>
        </w:rPr>
        <w:t>or multi-DCI based inter-cell multi-TRP and intra-cell multi-TRP operation with two TAGs configured in a CC</w:t>
      </w:r>
      <w:r>
        <w:rPr>
          <w:b/>
          <w:iCs/>
          <w:sz w:val="22"/>
          <w:szCs w:val="18"/>
          <w:lang w:val="en-GB" w:eastAsia="ko-KR"/>
        </w:rPr>
        <w:t>,</w:t>
      </w:r>
      <w:r w:rsidRPr="00F67348">
        <w:rPr>
          <w:b/>
          <w:iCs/>
          <w:sz w:val="22"/>
          <w:szCs w:val="18"/>
          <w:lang w:val="en-GB" w:eastAsia="ko-KR"/>
        </w:rPr>
        <w:t xml:space="preserve"> </w:t>
      </w:r>
      <w:r>
        <w:rPr>
          <w:b/>
          <w:iCs/>
          <w:sz w:val="22"/>
          <w:szCs w:val="18"/>
          <w:lang w:val="en-GB" w:eastAsia="ko-KR"/>
        </w:rPr>
        <w:t>w</w:t>
      </w:r>
      <w:r w:rsidRPr="00F67348">
        <w:rPr>
          <w:b/>
          <w:iCs/>
          <w:sz w:val="22"/>
          <w:szCs w:val="18"/>
          <w:lang w:val="en-GB" w:eastAsia="ko-KR"/>
        </w:rPr>
        <w:t>hen PRACH is transmitted towards a TRP that is different from the TRP that transmits PDCCH order</w:t>
      </w:r>
    </w:p>
    <w:p w14:paraId="0CE65CF1" w14:textId="77777777" w:rsidR="00295F33" w:rsidRDefault="00295F33" w:rsidP="00295F33">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Alt1 (preferred): T</w:t>
      </w:r>
      <w:r w:rsidRPr="00921E20">
        <w:rPr>
          <w:rFonts w:ascii="Times New Roman" w:hAnsi="Times New Roman"/>
          <w:b/>
          <w:iCs/>
          <w:szCs w:val="18"/>
          <w:lang w:val="en-GB" w:eastAsia="ko-KR"/>
        </w:rPr>
        <w:t xml:space="preserve">he PL-RS for determining the transmit power of the triggered PRACH transmission is based on a PL-RS associated with </w:t>
      </w:r>
      <w:r>
        <w:rPr>
          <w:rFonts w:ascii="Times New Roman" w:hAnsi="Times New Roman"/>
          <w:b/>
          <w:iCs/>
          <w:szCs w:val="18"/>
          <w:lang w:val="en-GB" w:eastAsia="ko-KR"/>
        </w:rPr>
        <w:t>the</w:t>
      </w:r>
      <w:r w:rsidRPr="00921E20">
        <w:rPr>
          <w:rFonts w:ascii="Times New Roman" w:hAnsi="Times New Roman"/>
          <w:b/>
          <w:iCs/>
          <w:szCs w:val="18"/>
          <w:lang w:val="en-GB" w:eastAsia="ko-KR"/>
        </w:rPr>
        <w:t xml:space="preserve"> indicated TCI state </w:t>
      </w:r>
      <w:r>
        <w:rPr>
          <w:rFonts w:ascii="Times New Roman" w:hAnsi="Times New Roman"/>
          <w:b/>
          <w:iCs/>
          <w:szCs w:val="18"/>
          <w:lang w:val="en-GB" w:eastAsia="ko-KR"/>
        </w:rPr>
        <w:t>for</w:t>
      </w:r>
      <w:r w:rsidRPr="00921E20">
        <w:rPr>
          <w:rFonts w:ascii="Times New Roman" w:hAnsi="Times New Roman"/>
          <w:b/>
          <w:iCs/>
          <w:szCs w:val="18"/>
          <w:lang w:val="en-GB" w:eastAsia="ko-KR"/>
        </w:rPr>
        <w:t xml:space="preserve"> the </w:t>
      </w:r>
      <w:r w:rsidRPr="002D2F08">
        <w:rPr>
          <w:rFonts w:ascii="Times New Roman" w:hAnsi="Times New Roman"/>
          <w:b/>
          <w:i/>
          <w:szCs w:val="18"/>
          <w:lang w:val="en-GB" w:eastAsia="ko-KR"/>
        </w:rPr>
        <w:t>coresetPoolIndex</w:t>
      </w:r>
      <w:r w:rsidRPr="00921E20">
        <w:rPr>
          <w:rFonts w:ascii="Times New Roman" w:hAnsi="Times New Roman"/>
          <w:b/>
          <w:iCs/>
          <w:szCs w:val="18"/>
          <w:lang w:val="en-GB" w:eastAsia="ko-KR"/>
        </w:rPr>
        <w:t xml:space="preserve"> value </w:t>
      </w:r>
      <w:r>
        <w:rPr>
          <w:rFonts w:ascii="Times New Roman" w:hAnsi="Times New Roman"/>
          <w:b/>
          <w:iCs/>
          <w:szCs w:val="18"/>
          <w:lang w:val="en-GB" w:eastAsia="ko-KR"/>
        </w:rPr>
        <w:t>corresponding to</w:t>
      </w:r>
      <w:r w:rsidRPr="00921E20">
        <w:rPr>
          <w:rFonts w:ascii="Times New Roman" w:hAnsi="Times New Roman"/>
          <w:b/>
          <w:iCs/>
          <w:szCs w:val="18"/>
          <w:lang w:val="en-GB" w:eastAsia="ko-KR"/>
        </w:rPr>
        <w:t xml:space="preserve"> the TRP that the PRACH is transmitted toward.</w:t>
      </w:r>
    </w:p>
    <w:p w14:paraId="7C88499C" w14:textId="77777777" w:rsidR="00295F33" w:rsidRDefault="00295F33" w:rsidP="00295F33">
      <w:pPr>
        <w:pStyle w:val="ListParagraph"/>
        <w:numPr>
          <w:ilvl w:val="0"/>
          <w:numId w:val="7"/>
        </w:numPr>
        <w:jc w:val="both"/>
        <w:rPr>
          <w:rFonts w:ascii="Times New Roman" w:hAnsi="Times New Roman"/>
          <w:b/>
          <w:iCs/>
          <w:szCs w:val="18"/>
          <w:lang w:val="en-GB" w:eastAsia="ko-KR"/>
        </w:rPr>
      </w:pPr>
      <w:r>
        <w:rPr>
          <w:rFonts w:ascii="Times New Roman" w:hAnsi="Times New Roman"/>
          <w:b/>
          <w:iCs/>
          <w:szCs w:val="18"/>
          <w:lang w:val="en-GB" w:eastAsia="ko-KR"/>
        </w:rPr>
        <w:t xml:space="preserve">Alt2 (not preferred but can accept): </w:t>
      </w:r>
      <w:r w:rsidRPr="002363FE">
        <w:rPr>
          <w:rFonts w:ascii="Times New Roman" w:hAnsi="Times New Roman"/>
          <w:b/>
          <w:iCs/>
          <w:szCs w:val="18"/>
          <w:lang w:val="en-GB" w:eastAsia="ko-KR"/>
        </w:rPr>
        <w:t>SSB indicated in the CFRA based PDCCH order is used as the PL-RS for determining the transmit power of the triggered PRACH transmission</w:t>
      </w:r>
      <w:r>
        <w:rPr>
          <w:rFonts w:ascii="Times New Roman" w:hAnsi="Times New Roman"/>
          <w:b/>
          <w:iCs/>
          <w:szCs w:val="18"/>
          <w:lang w:val="en-GB" w:eastAsia="ko-KR"/>
        </w:rPr>
        <w:t>.</w:t>
      </w:r>
    </w:p>
    <w:p w14:paraId="137CF17E" w14:textId="77777777" w:rsidR="00295F33" w:rsidRPr="00B1304C" w:rsidRDefault="00295F33" w:rsidP="00295F33">
      <w:pPr>
        <w:pStyle w:val="ListParagraph"/>
        <w:numPr>
          <w:ilvl w:val="1"/>
          <w:numId w:val="7"/>
        </w:numPr>
        <w:jc w:val="both"/>
        <w:rPr>
          <w:rFonts w:ascii="Times New Roman" w:hAnsi="Times New Roman"/>
          <w:b/>
          <w:iCs/>
          <w:szCs w:val="18"/>
          <w:lang w:val="en-GB" w:eastAsia="ko-KR"/>
        </w:rPr>
      </w:pPr>
      <w:r w:rsidRPr="006D6E18">
        <w:rPr>
          <w:rFonts w:ascii="Times New Roman" w:hAnsi="Times New Roman"/>
          <w:b/>
          <w:iCs/>
          <w:szCs w:val="18"/>
          <w:lang w:val="en-GB" w:eastAsia="ko-KR"/>
        </w:rPr>
        <w:t>UE expects the indicated SSB in PDCCH order to be associated with either the first indicated TCI state or the second indicated TCI state.</w:t>
      </w:r>
    </w:p>
    <w:p w14:paraId="4AE157C9" w14:textId="3B492027" w:rsidR="00963FD0" w:rsidRDefault="00963FD0" w:rsidP="001E424D">
      <w:pPr>
        <w:jc w:val="both"/>
        <w:rPr>
          <w:bCs/>
          <w:iCs/>
          <w:sz w:val="22"/>
          <w:szCs w:val="18"/>
          <w:lang w:val="en-GB" w:eastAsia="ko-KR"/>
        </w:rPr>
      </w:pPr>
    </w:p>
    <w:p w14:paraId="16315334" w14:textId="77777777" w:rsidR="00295F33" w:rsidRDefault="00295F33" w:rsidP="00295F33">
      <w:pPr>
        <w:spacing w:after="0"/>
        <w:rPr>
          <w:b/>
          <w:bCs/>
          <w:sz w:val="22"/>
          <w:szCs w:val="22"/>
          <w:lang w:eastAsia="zh-CN"/>
        </w:rPr>
      </w:pPr>
      <w:r w:rsidRPr="00397CC1">
        <w:rPr>
          <w:rFonts w:eastAsia="Batang"/>
          <w:b/>
          <w:sz w:val="22"/>
          <w:szCs w:val="28"/>
          <w:u w:val="single"/>
          <w:lang w:val="en-GB"/>
        </w:rPr>
        <w:t xml:space="preserve">Proposal </w:t>
      </w:r>
      <w:r>
        <w:rPr>
          <w:rFonts w:eastAsia="Batang"/>
          <w:b/>
          <w:sz w:val="22"/>
          <w:szCs w:val="28"/>
          <w:u w:val="single"/>
          <w:lang w:val="en-GB"/>
        </w:rPr>
        <w:t>2</w:t>
      </w:r>
      <w:r w:rsidRPr="00397CC1">
        <w:rPr>
          <w:b/>
          <w:iCs/>
          <w:sz w:val="22"/>
          <w:szCs w:val="18"/>
          <w:lang w:val="en-GB" w:eastAsia="ko-KR"/>
        </w:rPr>
        <w:t xml:space="preserve">: </w:t>
      </w:r>
      <w:r w:rsidRPr="0071024C">
        <w:rPr>
          <w:b/>
          <w:bCs/>
          <w:sz w:val="22"/>
          <w:szCs w:val="22"/>
          <w:lang w:eastAsia="zh-CN"/>
        </w:rPr>
        <w:t xml:space="preserve">For multi-DCI based Multi-TRP operation with two TA enhancement, </w:t>
      </w:r>
    </w:p>
    <w:p w14:paraId="7D51A1FE" w14:textId="77777777" w:rsidR="00295F33" w:rsidRPr="00883006" w:rsidRDefault="00295F33" w:rsidP="00295F33">
      <w:pPr>
        <w:numPr>
          <w:ilvl w:val="0"/>
          <w:numId w:val="23"/>
        </w:numPr>
        <w:overflowPunct/>
        <w:autoSpaceDE/>
        <w:autoSpaceDN/>
        <w:adjustRightInd/>
        <w:spacing w:after="0" w:line="276" w:lineRule="auto"/>
        <w:contextualSpacing/>
        <w:textAlignment w:val="auto"/>
        <w:rPr>
          <w:rFonts w:eastAsiaTheme="minorHAnsi"/>
          <w:b/>
          <w:bCs/>
          <w:i/>
          <w:iCs/>
          <w:sz w:val="22"/>
          <w:szCs w:val="22"/>
          <w:lang w:eastAsia="zh-CN"/>
        </w:rPr>
      </w:pPr>
      <w:r>
        <w:rPr>
          <w:b/>
          <w:bCs/>
          <w:sz w:val="22"/>
          <w:szCs w:val="22"/>
          <w:lang w:eastAsia="zh-CN"/>
        </w:rPr>
        <w:t>T</w:t>
      </w:r>
      <w:r w:rsidRPr="0071024C">
        <w:rPr>
          <w:b/>
          <w:bCs/>
          <w:sz w:val="22"/>
          <w:szCs w:val="22"/>
          <w:lang w:eastAsia="zh-CN"/>
        </w:rPr>
        <w:t>he single bit in the PDCCH order DCI (currently named as “PCI indicator” in 38.212) is interpreted as follows</w:t>
      </w:r>
    </w:p>
    <w:p w14:paraId="3FC07EA4" w14:textId="77777777" w:rsidR="00295F33" w:rsidRPr="0071024C" w:rsidRDefault="00295F33" w:rsidP="00295F33">
      <w:pPr>
        <w:numPr>
          <w:ilvl w:val="1"/>
          <w:numId w:val="23"/>
        </w:numPr>
        <w:overflowPunct/>
        <w:autoSpaceDE/>
        <w:autoSpaceDN/>
        <w:adjustRightInd/>
        <w:spacing w:after="0" w:line="276" w:lineRule="auto"/>
        <w:contextualSpacing/>
        <w:textAlignment w:val="auto"/>
        <w:rPr>
          <w:rFonts w:eastAsiaTheme="minorHAnsi"/>
          <w:b/>
          <w:bCs/>
          <w:i/>
          <w:iCs/>
          <w:sz w:val="22"/>
          <w:szCs w:val="22"/>
          <w:lang w:eastAsia="zh-CN"/>
        </w:rPr>
      </w:pPr>
      <w:r w:rsidRPr="0071024C">
        <w:rPr>
          <w:b/>
          <w:bCs/>
          <w:sz w:val="22"/>
          <w:szCs w:val="22"/>
          <w:lang w:eastAsia="zh-CN"/>
        </w:rPr>
        <w:t xml:space="preserve">If </w:t>
      </w:r>
      <w:r w:rsidRPr="0071024C">
        <w:rPr>
          <w:b/>
          <w:bCs/>
          <w:i/>
          <w:iCs/>
          <w:sz w:val="22"/>
          <w:szCs w:val="22"/>
          <w:lang w:eastAsia="zh-CN"/>
        </w:rPr>
        <w:t xml:space="preserve">SSB-MTC-AddtionalPCI </w:t>
      </w:r>
      <w:r w:rsidRPr="0071024C">
        <w:rPr>
          <w:b/>
          <w:bCs/>
          <w:sz w:val="22"/>
          <w:szCs w:val="22"/>
          <w:lang w:eastAsia="zh-CN"/>
        </w:rPr>
        <w:t xml:space="preserve">is configured and an </w:t>
      </w:r>
      <w:r w:rsidRPr="0071024C">
        <w:rPr>
          <w:b/>
          <w:bCs/>
          <w:i/>
          <w:iCs/>
          <w:sz w:val="22"/>
          <w:szCs w:val="22"/>
          <w:lang w:eastAsia="zh-CN"/>
        </w:rPr>
        <w:t>additionalPCI</w:t>
      </w:r>
      <w:r w:rsidRPr="0071024C">
        <w:rPr>
          <w:b/>
          <w:bCs/>
          <w:sz w:val="22"/>
          <w:szCs w:val="22"/>
          <w:lang w:eastAsia="zh-CN"/>
        </w:rPr>
        <w:t xml:space="preserve"> is associated with active TCI states (inter-cell case): </w:t>
      </w:r>
    </w:p>
    <w:p w14:paraId="56C72CAC" w14:textId="77777777" w:rsidR="00295F33" w:rsidRPr="0071024C" w:rsidRDefault="00295F33" w:rsidP="00295F33">
      <w:pPr>
        <w:pStyle w:val="ListParagraph"/>
        <w:numPr>
          <w:ilvl w:val="2"/>
          <w:numId w:val="23"/>
        </w:numPr>
        <w:spacing w:line="252" w:lineRule="auto"/>
        <w:contextualSpacing/>
        <w:jc w:val="both"/>
        <w:rPr>
          <w:rFonts w:ascii="Times New Roman" w:hAnsi="Times New Roman"/>
          <w:b/>
          <w:bCs/>
          <w:i/>
          <w:iCs/>
          <w:lang w:eastAsia="zh-CN"/>
        </w:rPr>
      </w:pPr>
      <w:r w:rsidRPr="0071024C">
        <w:rPr>
          <w:rFonts w:ascii="Times New Roman" w:hAnsi="Times New Roman"/>
          <w:b/>
          <w:bCs/>
          <w:lang w:eastAsia="zh-CN"/>
        </w:rPr>
        <w:t>Value 0 indicates that the RACH transmission is associated with the serving cell PCI</w:t>
      </w:r>
    </w:p>
    <w:p w14:paraId="3209AD2F" w14:textId="77777777" w:rsidR="00295F33" w:rsidRPr="0071024C" w:rsidRDefault="00295F33" w:rsidP="00295F33">
      <w:pPr>
        <w:pStyle w:val="ListParagraph"/>
        <w:numPr>
          <w:ilvl w:val="2"/>
          <w:numId w:val="23"/>
        </w:numPr>
        <w:spacing w:line="252" w:lineRule="auto"/>
        <w:contextualSpacing/>
        <w:jc w:val="both"/>
        <w:rPr>
          <w:rStyle w:val="Emphasis"/>
          <w:rFonts w:ascii="Times New Roman" w:hAnsi="Times New Roman"/>
        </w:rPr>
      </w:pPr>
      <w:r w:rsidRPr="0071024C">
        <w:rPr>
          <w:rFonts w:ascii="Times New Roman" w:hAnsi="Times New Roman"/>
          <w:b/>
          <w:bCs/>
          <w:lang w:eastAsia="zh-CN"/>
        </w:rPr>
        <w:t xml:space="preserve">Value 1 indicates that the PRACH transmission is associated with the </w:t>
      </w:r>
      <w:r w:rsidRPr="0071024C">
        <w:rPr>
          <w:rFonts w:ascii="Times New Roman" w:hAnsi="Times New Roman"/>
          <w:b/>
          <w:bCs/>
          <w:i/>
          <w:iCs/>
          <w:lang w:eastAsia="zh-CN"/>
        </w:rPr>
        <w:t>additionalPCI</w:t>
      </w:r>
    </w:p>
    <w:p w14:paraId="3845B0BA" w14:textId="77777777" w:rsidR="00295F33" w:rsidRPr="0071024C" w:rsidRDefault="00295F33" w:rsidP="00295F33">
      <w:pPr>
        <w:numPr>
          <w:ilvl w:val="1"/>
          <w:numId w:val="23"/>
        </w:numPr>
        <w:overflowPunct/>
        <w:autoSpaceDE/>
        <w:autoSpaceDN/>
        <w:adjustRightInd/>
        <w:spacing w:after="0" w:line="276" w:lineRule="auto"/>
        <w:contextualSpacing/>
        <w:textAlignment w:val="auto"/>
        <w:rPr>
          <w:rStyle w:val="Emphasis"/>
          <w:b/>
          <w:bCs/>
          <w:i w:val="0"/>
          <w:iCs w:val="0"/>
          <w:sz w:val="22"/>
          <w:szCs w:val="22"/>
          <w:lang w:eastAsia="zh-CN"/>
        </w:rPr>
      </w:pPr>
      <w:r w:rsidRPr="0071024C">
        <w:rPr>
          <w:rStyle w:val="Emphasis"/>
          <w:b/>
          <w:bCs/>
          <w:i w:val="0"/>
          <w:iCs w:val="0"/>
          <w:sz w:val="22"/>
          <w:szCs w:val="22"/>
          <w:lang w:eastAsia="zh-CN"/>
        </w:rPr>
        <w:t>Otherwise (intra-cell case)</w:t>
      </w:r>
      <w:r w:rsidRPr="0071024C">
        <w:rPr>
          <w:sz w:val="22"/>
          <w:szCs w:val="22"/>
          <w:lang w:eastAsia="zh-CN"/>
        </w:rPr>
        <w:t xml:space="preserve"> </w:t>
      </w:r>
    </w:p>
    <w:p w14:paraId="6499A270" w14:textId="77777777" w:rsidR="00295F33" w:rsidRPr="0071024C" w:rsidRDefault="00295F33" w:rsidP="00295F33">
      <w:pPr>
        <w:pStyle w:val="ListParagraph"/>
        <w:numPr>
          <w:ilvl w:val="2"/>
          <w:numId w:val="23"/>
        </w:numPr>
        <w:spacing w:line="252" w:lineRule="auto"/>
        <w:contextualSpacing/>
        <w:jc w:val="both"/>
        <w:rPr>
          <w:rStyle w:val="Emphasis"/>
          <w:rFonts w:ascii="Times New Roman" w:hAnsi="Times New Roman"/>
          <w:b/>
          <w:bCs/>
          <w:i w:val="0"/>
          <w:iCs w:val="0"/>
          <w:lang w:eastAsia="zh-CN"/>
        </w:rPr>
      </w:pPr>
      <w:r w:rsidRPr="0071024C">
        <w:rPr>
          <w:rStyle w:val="Emphasis"/>
          <w:rFonts w:ascii="Times New Roman" w:hAnsi="Times New Roman"/>
          <w:b/>
          <w:bCs/>
          <w:i w:val="0"/>
          <w:iCs w:val="0"/>
          <w:lang w:eastAsia="zh-CN"/>
        </w:rPr>
        <w:t>Value 0 indicates that the PRACH transmission is associated with the first TAG</w:t>
      </w:r>
    </w:p>
    <w:p w14:paraId="74F99ED7" w14:textId="77777777" w:rsidR="00295F33" w:rsidRDefault="00295F33" w:rsidP="00295F33">
      <w:pPr>
        <w:pStyle w:val="ListParagraph"/>
        <w:numPr>
          <w:ilvl w:val="2"/>
          <w:numId w:val="23"/>
        </w:numPr>
        <w:spacing w:line="252" w:lineRule="auto"/>
        <w:contextualSpacing/>
        <w:jc w:val="both"/>
        <w:rPr>
          <w:rStyle w:val="Emphasis"/>
          <w:rFonts w:ascii="Times New Roman" w:hAnsi="Times New Roman"/>
          <w:b/>
          <w:bCs/>
          <w:i w:val="0"/>
          <w:iCs w:val="0"/>
          <w:lang w:eastAsia="zh-CN"/>
        </w:rPr>
      </w:pPr>
      <w:r w:rsidRPr="0071024C">
        <w:rPr>
          <w:rStyle w:val="Emphasis"/>
          <w:rFonts w:ascii="Times New Roman" w:hAnsi="Times New Roman"/>
          <w:b/>
          <w:bCs/>
          <w:i w:val="0"/>
          <w:iCs w:val="0"/>
          <w:lang w:eastAsia="zh-CN"/>
        </w:rPr>
        <w:t>Value 1 indicates the PRACH transmission is associated with the second TAG.</w:t>
      </w:r>
    </w:p>
    <w:p w14:paraId="274F9D7C" w14:textId="77777777" w:rsidR="00295F33" w:rsidRDefault="00295F33" w:rsidP="00295F33">
      <w:pPr>
        <w:pStyle w:val="ListParagraph"/>
        <w:numPr>
          <w:ilvl w:val="0"/>
          <w:numId w:val="23"/>
        </w:numPr>
        <w:spacing w:line="252" w:lineRule="auto"/>
        <w:contextualSpacing/>
        <w:jc w:val="both"/>
        <w:rPr>
          <w:rStyle w:val="Emphasis"/>
          <w:rFonts w:ascii="Times New Roman" w:hAnsi="Times New Roman"/>
          <w:b/>
          <w:bCs/>
          <w:i w:val="0"/>
          <w:iCs w:val="0"/>
          <w:lang w:eastAsia="zh-CN"/>
        </w:rPr>
      </w:pPr>
      <w:r>
        <w:rPr>
          <w:rStyle w:val="Emphasis"/>
          <w:rFonts w:ascii="Times New Roman" w:hAnsi="Times New Roman"/>
          <w:b/>
          <w:bCs/>
          <w:i w:val="0"/>
          <w:iCs w:val="0"/>
          <w:lang w:eastAsia="zh-CN"/>
        </w:rPr>
        <w:t>The single bit indication in PDCCH order DCI is used to determine:</w:t>
      </w:r>
    </w:p>
    <w:p w14:paraId="34596FCB" w14:textId="77777777" w:rsidR="00295F33" w:rsidRDefault="00295F33" w:rsidP="00295F33">
      <w:pPr>
        <w:pStyle w:val="ListParagraph"/>
        <w:numPr>
          <w:ilvl w:val="1"/>
          <w:numId w:val="23"/>
        </w:numPr>
        <w:spacing w:line="252" w:lineRule="auto"/>
        <w:contextualSpacing/>
        <w:jc w:val="both"/>
        <w:rPr>
          <w:rStyle w:val="Emphasis"/>
          <w:rFonts w:ascii="Times New Roman" w:hAnsi="Times New Roman"/>
          <w:b/>
          <w:bCs/>
          <w:i w:val="0"/>
          <w:iCs w:val="0"/>
          <w:lang w:eastAsia="zh-CN"/>
        </w:rPr>
      </w:pPr>
      <w:r>
        <w:rPr>
          <w:rStyle w:val="Emphasis"/>
          <w:rFonts w:ascii="Times New Roman" w:hAnsi="Times New Roman"/>
          <w:b/>
          <w:bCs/>
          <w:i w:val="0"/>
          <w:iCs w:val="0"/>
          <w:lang w:eastAsia="zh-CN"/>
        </w:rPr>
        <w:t>Whether PRACH power control is based on legacy rule (same-TRP PDCCH order) or is based on new rule (cross-TRP PDCCH order).</w:t>
      </w:r>
    </w:p>
    <w:p w14:paraId="66229F1A" w14:textId="77777777" w:rsidR="00295F33" w:rsidRPr="00DF4631" w:rsidRDefault="00295F33" w:rsidP="00295F33">
      <w:pPr>
        <w:pStyle w:val="ListParagraph"/>
        <w:numPr>
          <w:ilvl w:val="1"/>
          <w:numId w:val="23"/>
        </w:numPr>
        <w:spacing w:line="252" w:lineRule="auto"/>
        <w:contextualSpacing/>
        <w:jc w:val="both"/>
        <w:rPr>
          <w:rFonts w:ascii="Times New Roman" w:hAnsi="Times New Roman"/>
          <w:b/>
          <w:bCs/>
          <w:lang w:eastAsia="zh-CN"/>
        </w:rPr>
      </w:pPr>
      <w:r>
        <w:rPr>
          <w:rFonts w:asciiTheme="majorBidi" w:hAnsiTheme="majorBidi" w:cstheme="majorBidi"/>
          <w:b/>
          <w:iCs/>
          <w:szCs w:val="18"/>
          <w:lang w:val="en-GB" w:eastAsia="ko-KR"/>
        </w:rPr>
        <w:t>DL reference timing for PRACH transmission timing.</w:t>
      </w:r>
    </w:p>
    <w:p w14:paraId="7F63468A" w14:textId="593E98E9" w:rsidR="00295F33" w:rsidRDefault="00295F33" w:rsidP="001E424D">
      <w:pPr>
        <w:jc w:val="both"/>
        <w:rPr>
          <w:bCs/>
          <w:iCs/>
          <w:sz w:val="22"/>
          <w:szCs w:val="18"/>
          <w:lang w:val="en-GB" w:eastAsia="ko-KR"/>
        </w:rPr>
      </w:pPr>
    </w:p>
    <w:p w14:paraId="7462EFDB" w14:textId="77777777" w:rsidR="0079769F" w:rsidRDefault="0079769F" w:rsidP="0079769F">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3</w:t>
      </w:r>
      <w:r w:rsidRPr="00397CC1">
        <w:rPr>
          <w:b/>
          <w:iCs/>
          <w:sz w:val="22"/>
          <w:szCs w:val="18"/>
          <w:lang w:val="en-GB" w:eastAsia="ko-KR"/>
        </w:rPr>
        <w:t>:</w:t>
      </w:r>
      <w:r>
        <w:rPr>
          <w:b/>
          <w:iCs/>
          <w:sz w:val="22"/>
          <w:szCs w:val="18"/>
          <w:lang w:val="en-GB" w:eastAsia="ko-KR"/>
        </w:rPr>
        <w:t xml:space="preserve"> To differentiate between multi-DCI based multi-TRP with 2 TAs and LTM, support one of the following options:</w:t>
      </w:r>
    </w:p>
    <w:p w14:paraId="1298A9DC" w14:textId="77777777" w:rsidR="0079769F" w:rsidRPr="00272913" w:rsidRDefault="0079769F" w:rsidP="0079769F">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lastRenderedPageBreak/>
        <w:t>Option 1 (no spec impact): Conclude that if both multi-DCI based multi-TRP with 2 TAs and LTM are configured, PDCCH order DCI can either tigger PRACH associated with the second TAG (for mTRP) or trigger PRACH associated with a candidate cell (for LTM), but not both.</w:t>
      </w:r>
    </w:p>
    <w:p w14:paraId="05B915CC" w14:textId="77777777" w:rsidR="0079769F" w:rsidRPr="00272913" w:rsidRDefault="0079769F" w:rsidP="0079769F">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t xml:space="preserve">Option 2: Specification to capture “UE does not expect both “Cell indicator” field and “PCI indicator” field of the PDCCH order DCI to </w:t>
      </w:r>
      <w:r>
        <w:rPr>
          <w:rFonts w:asciiTheme="majorBidi" w:hAnsiTheme="majorBidi" w:cstheme="majorBidi"/>
          <w:b/>
          <w:iCs/>
          <w:lang w:val="en-GB"/>
        </w:rPr>
        <w:t>indicate a</w:t>
      </w:r>
      <w:r w:rsidRPr="00272913">
        <w:rPr>
          <w:rFonts w:asciiTheme="majorBidi" w:hAnsiTheme="majorBidi" w:cstheme="majorBidi"/>
          <w:b/>
          <w:iCs/>
          <w:lang w:val="en-GB"/>
        </w:rPr>
        <w:t xml:space="preserve"> non-zero</w:t>
      </w:r>
      <w:r>
        <w:rPr>
          <w:rFonts w:asciiTheme="majorBidi" w:hAnsiTheme="majorBidi" w:cstheme="majorBidi"/>
          <w:b/>
          <w:iCs/>
          <w:lang w:val="en-GB"/>
        </w:rPr>
        <w:t xml:space="preserve"> value</w:t>
      </w:r>
      <w:r w:rsidRPr="00272913">
        <w:rPr>
          <w:rFonts w:asciiTheme="majorBidi" w:hAnsiTheme="majorBidi" w:cstheme="majorBidi"/>
          <w:b/>
          <w:iCs/>
          <w:lang w:val="en-GB"/>
        </w:rPr>
        <w:t>”</w:t>
      </w:r>
    </w:p>
    <w:p w14:paraId="2885E16B" w14:textId="77777777" w:rsidR="0079769F" w:rsidRPr="00272913" w:rsidRDefault="0079769F" w:rsidP="0079769F">
      <w:pPr>
        <w:pStyle w:val="ListParagraph"/>
        <w:numPr>
          <w:ilvl w:val="0"/>
          <w:numId w:val="24"/>
        </w:numPr>
        <w:jc w:val="both"/>
        <w:rPr>
          <w:rFonts w:asciiTheme="majorBidi" w:hAnsiTheme="majorBidi" w:cstheme="majorBidi"/>
          <w:b/>
          <w:iCs/>
          <w:lang w:val="en-GB"/>
        </w:rPr>
      </w:pPr>
      <w:r w:rsidRPr="00272913">
        <w:rPr>
          <w:rFonts w:asciiTheme="majorBidi" w:hAnsiTheme="majorBidi" w:cstheme="majorBidi"/>
          <w:b/>
          <w:iCs/>
          <w:lang w:val="en-GB"/>
        </w:rPr>
        <w:t>Option 3: Specification to capture that if the “Cell indicator” field in the PDCCH order DCI indicates a non-zero value, UE ignores the “PCI indicator” field.</w:t>
      </w:r>
    </w:p>
    <w:p w14:paraId="517D1522" w14:textId="33258317" w:rsidR="00295F33" w:rsidRDefault="00295F33" w:rsidP="001E424D">
      <w:pPr>
        <w:jc w:val="both"/>
        <w:rPr>
          <w:bCs/>
          <w:iCs/>
          <w:sz w:val="22"/>
          <w:szCs w:val="18"/>
          <w:lang w:val="en-GB" w:eastAsia="ko-KR"/>
        </w:rPr>
      </w:pPr>
    </w:p>
    <w:p w14:paraId="030C8D7B" w14:textId="77777777" w:rsidR="0079769F" w:rsidRDefault="0079769F" w:rsidP="0079769F">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4</w:t>
      </w:r>
      <w:r w:rsidRPr="00397CC1">
        <w:rPr>
          <w:b/>
          <w:iCs/>
          <w:sz w:val="22"/>
          <w:szCs w:val="18"/>
          <w:lang w:val="en-GB" w:eastAsia="ko-KR"/>
        </w:rPr>
        <w:t xml:space="preserve">: </w:t>
      </w:r>
      <w:r>
        <w:rPr>
          <w:b/>
          <w:iCs/>
          <w:sz w:val="22"/>
          <w:szCs w:val="18"/>
          <w:lang w:val="en-GB" w:eastAsia="ko-KR"/>
        </w:rPr>
        <w:t xml:space="preserve">For </w:t>
      </w:r>
      <w:r w:rsidRPr="008E7D6A">
        <w:rPr>
          <w:b/>
          <w:iCs/>
          <w:sz w:val="22"/>
          <w:szCs w:val="18"/>
          <w:lang w:val="en-GB" w:eastAsia="ko-KR"/>
        </w:rPr>
        <w:t xml:space="preserve">inter-cell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TAGs</w:t>
      </w:r>
      <w:r w:rsidRPr="00397CC1">
        <w:rPr>
          <w:b/>
          <w:iCs/>
          <w:sz w:val="22"/>
          <w:szCs w:val="18"/>
          <w:lang w:val="en-GB" w:eastAsia="ko-KR"/>
        </w:rPr>
        <w:t>:</w:t>
      </w:r>
    </w:p>
    <w:p w14:paraId="139C620E" w14:textId="77777777" w:rsidR="0079769F" w:rsidRPr="00EC2EF2" w:rsidRDefault="0079769F" w:rsidP="0079769F">
      <w:pPr>
        <w:pStyle w:val="ListParagraph"/>
        <w:numPr>
          <w:ilvl w:val="0"/>
          <w:numId w:val="15"/>
        </w:numPr>
        <w:jc w:val="both"/>
        <w:rPr>
          <w:rFonts w:ascii="Times New Roman" w:hAnsi="Times New Roman"/>
          <w:b/>
          <w:iCs/>
          <w:szCs w:val="18"/>
          <w:lang w:val="en-GB" w:eastAsia="ko-KR"/>
        </w:rPr>
      </w:pPr>
      <w:r>
        <w:rPr>
          <w:rFonts w:ascii="Times New Roman" w:hAnsi="Times New Roman"/>
          <w:b/>
          <w:iCs/>
          <w:szCs w:val="18"/>
          <w:lang w:val="en-GB" w:eastAsia="ko-KR"/>
        </w:rPr>
        <w:t>W</w:t>
      </w:r>
      <w:r w:rsidRPr="00E04286">
        <w:rPr>
          <w:rFonts w:ascii="Times New Roman" w:hAnsi="Times New Roman"/>
          <w:b/>
          <w:iCs/>
          <w:szCs w:val="18"/>
          <w:lang w:val="en-GB" w:eastAsia="ko-KR"/>
        </w:rPr>
        <w:t xml:space="preserve">hen PRACH is toward </w:t>
      </w:r>
      <w:r>
        <w:rPr>
          <w:rFonts w:ascii="Times New Roman" w:hAnsi="Times New Roman"/>
          <w:b/>
          <w:iCs/>
          <w:szCs w:val="18"/>
          <w:lang w:val="en-GB" w:eastAsia="ko-KR"/>
        </w:rPr>
        <w:t>the</w:t>
      </w:r>
      <w:r w:rsidRPr="00E04286">
        <w:rPr>
          <w:rFonts w:ascii="Times New Roman" w:hAnsi="Times New Roman"/>
          <w:b/>
          <w:iCs/>
          <w:szCs w:val="18"/>
          <w:lang w:val="en-GB" w:eastAsia="ko-KR"/>
        </w:rPr>
        <w:t xml:space="preserve"> </w:t>
      </w:r>
      <w:r>
        <w:rPr>
          <w:rFonts w:ascii="Times New Roman" w:hAnsi="Times New Roman"/>
          <w:b/>
          <w:iCs/>
          <w:szCs w:val="18"/>
          <w:lang w:val="en-GB" w:eastAsia="ko-KR"/>
        </w:rPr>
        <w:t>additional</w:t>
      </w:r>
      <w:r w:rsidRPr="00E04286">
        <w:rPr>
          <w:rFonts w:ascii="Times New Roman" w:hAnsi="Times New Roman"/>
          <w:b/>
          <w:iCs/>
          <w:szCs w:val="18"/>
          <w:lang w:val="en-GB" w:eastAsia="ko-KR"/>
        </w:rPr>
        <w:t xml:space="preserve"> PCI</w:t>
      </w:r>
      <w:r>
        <w:rPr>
          <w:rFonts w:ascii="Times New Roman" w:hAnsi="Times New Roman"/>
          <w:b/>
          <w:iCs/>
          <w:szCs w:val="18"/>
          <w:lang w:val="en-GB" w:eastAsia="ko-KR"/>
        </w:rPr>
        <w:t xml:space="preserve">, support to configure an </w:t>
      </w:r>
      <w:r w:rsidRPr="00395000">
        <w:rPr>
          <w:rFonts w:asciiTheme="majorBidi" w:hAnsiTheme="majorBidi" w:cstheme="majorBidi"/>
          <w:b/>
          <w:iCs/>
          <w:lang w:val="en-GB"/>
        </w:rPr>
        <w:t>additional delay</w:t>
      </w:r>
      <w:r>
        <w:rPr>
          <w:rFonts w:asciiTheme="majorBidi" w:hAnsiTheme="majorBidi" w:cstheme="majorBidi"/>
          <w:b/>
          <w:iCs/>
          <w:lang w:val="en-GB"/>
        </w:rPr>
        <w:t>/timer</w:t>
      </w:r>
      <w:r w:rsidRPr="00395000">
        <w:rPr>
          <w:rFonts w:asciiTheme="majorBidi" w:hAnsiTheme="majorBidi" w:cstheme="majorBidi"/>
          <w:b/>
          <w:iCs/>
          <w:lang w:val="en-GB"/>
        </w:rPr>
        <w:t xml:space="preserve"> for starting the </w:t>
      </w:r>
      <w:r>
        <w:rPr>
          <w:rFonts w:asciiTheme="majorBidi" w:hAnsiTheme="majorBidi" w:cstheme="majorBidi"/>
          <w:b/>
          <w:iCs/>
          <w:lang w:val="en-GB"/>
        </w:rPr>
        <w:t>RAR</w:t>
      </w:r>
      <w:r w:rsidRPr="00395000">
        <w:rPr>
          <w:rFonts w:asciiTheme="majorBidi" w:hAnsiTheme="majorBidi" w:cstheme="majorBidi"/>
          <w:b/>
          <w:iCs/>
          <w:lang w:val="en-GB"/>
        </w:rPr>
        <w:t xml:space="preserve"> response window to accommodate the non-ideal backhaul</w:t>
      </w:r>
      <w:r>
        <w:rPr>
          <w:rFonts w:asciiTheme="majorBidi" w:hAnsiTheme="majorBidi" w:cstheme="majorBidi"/>
          <w:b/>
          <w:iCs/>
          <w:lang w:val="en-GB"/>
        </w:rPr>
        <w:t>.</w:t>
      </w:r>
    </w:p>
    <w:p w14:paraId="4122CC31" w14:textId="716A79AB" w:rsidR="0079769F" w:rsidRDefault="0079769F" w:rsidP="001E424D">
      <w:pPr>
        <w:jc w:val="both"/>
        <w:rPr>
          <w:bCs/>
          <w:iCs/>
          <w:sz w:val="22"/>
          <w:szCs w:val="18"/>
          <w:lang w:val="en-GB" w:eastAsia="ko-KR"/>
        </w:rPr>
      </w:pPr>
    </w:p>
    <w:p w14:paraId="22171FEC" w14:textId="77777777" w:rsidR="0079769F" w:rsidRDefault="0079769F" w:rsidP="0079769F">
      <w:pPr>
        <w:spacing w:after="0"/>
        <w:jc w:val="both"/>
        <w:rPr>
          <w:b/>
          <w:iCs/>
          <w:sz w:val="22"/>
          <w:szCs w:val="18"/>
          <w:lang w:val="en-GB" w:eastAsia="ko-KR"/>
        </w:rPr>
      </w:pPr>
      <w:r w:rsidRPr="00397CC1">
        <w:rPr>
          <w:rFonts w:eastAsia="Batang"/>
          <w:b/>
          <w:sz w:val="22"/>
          <w:szCs w:val="28"/>
          <w:u w:val="single"/>
          <w:lang w:val="en-GB"/>
        </w:rPr>
        <w:t xml:space="preserve">Proposal </w:t>
      </w:r>
      <w:r>
        <w:rPr>
          <w:rFonts w:eastAsia="Batang"/>
          <w:b/>
          <w:sz w:val="22"/>
          <w:szCs w:val="28"/>
          <w:u w:val="single"/>
          <w:lang w:val="en-GB"/>
        </w:rPr>
        <w:t>5</w:t>
      </w:r>
      <w:r w:rsidRPr="00397CC1">
        <w:rPr>
          <w:b/>
          <w:iCs/>
          <w:sz w:val="22"/>
          <w:szCs w:val="18"/>
          <w:lang w:val="en-GB" w:eastAsia="ko-KR"/>
        </w:rPr>
        <w:t xml:space="preserve">: </w:t>
      </w:r>
      <w:r>
        <w:rPr>
          <w:b/>
          <w:iCs/>
          <w:sz w:val="22"/>
          <w:szCs w:val="18"/>
          <w:lang w:val="en-GB" w:eastAsia="ko-KR"/>
        </w:rPr>
        <w:t>For CFRA-based PDCCH order in</w:t>
      </w:r>
      <w:r w:rsidRPr="008E7D6A">
        <w:rPr>
          <w:b/>
          <w:iCs/>
          <w:sz w:val="22"/>
          <w:szCs w:val="18"/>
          <w:lang w:val="en-GB" w:eastAsia="ko-KR"/>
        </w:rPr>
        <w:t xml:space="preserve"> multi-DCI based </w:t>
      </w:r>
      <w:r>
        <w:rPr>
          <w:b/>
          <w:iCs/>
          <w:sz w:val="22"/>
          <w:szCs w:val="18"/>
          <w:lang w:val="en-GB" w:eastAsia="ko-KR"/>
        </w:rPr>
        <w:t>m</w:t>
      </w:r>
      <w:r w:rsidRPr="008E7D6A">
        <w:rPr>
          <w:b/>
          <w:iCs/>
          <w:sz w:val="22"/>
          <w:szCs w:val="18"/>
          <w:lang w:val="en-GB" w:eastAsia="ko-KR"/>
        </w:rPr>
        <w:t xml:space="preserve">ulti-TRP operation with two </w:t>
      </w:r>
      <w:r>
        <w:rPr>
          <w:b/>
          <w:iCs/>
          <w:sz w:val="22"/>
          <w:szCs w:val="18"/>
          <w:lang w:val="en-GB" w:eastAsia="ko-KR"/>
        </w:rPr>
        <w:t xml:space="preserve">TAGs, when UE receives a corresponding RAR and is configured </w:t>
      </w:r>
      <w:r w:rsidRPr="00D0401E">
        <w:rPr>
          <w:b/>
          <w:iCs/>
          <w:sz w:val="22"/>
          <w:szCs w:val="18"/>
          <w:lang w:val="en-GB" w:eastAsia="ko-KR"/>
        </w:rPr>
        <w:t xml:space="preserve">with </w:t>
      </w:r>
      <w:r w:rsidRPr="00D0401E">
        <w:rPr>
          <w:b/>
          <w:i/>
          <w:iCs/>
          <w:sz w:val="22"/>
          <w:szCs w:val="18"/>
          <w:lang w:eastAsia="ko-KR"/>
        </w:rPr>
        <w:t xml:space="preserve">twoPUSCH-PC-AdjustmentStates </w:t>
      </w:r>
      <w:r w:rsidRPr="00D0401E">
        <w:rPr>
          <w:b/>
          <w:sz w:val="22"/>
          <w:szCs w:val="18"/>
          <w:lang w:eastAsia="ko-KR"/>
        </w:rPr>
        <w:t>or</w:t>
      </w:r>
      <w:r w:rsidRPr="00D0401E">
        <w:rPr>
          <w:b/>
          <w:i/>
          <w:iCs/>
          <w:sz w:val="22"/>
          <w:szCs w:val="18"/>
          <w:lang w:eastAsia="ko-KR"/>
        </w:rPr>
        <w:t xml:space="preserve"> twoPUCCH-PC-AdjustmentStates</w:t>
      </w:r>
    </w:p>
    <w:p w14:paraId="6C305B07" w14:textId="77777777" w:rsidR="0079769F" w:rsidRPr="00B5426B" w:rsidRDefault="0079769F" w:rsidP="0079769F">
      <w:pPr>
        <w:pStyle w:val="ListParagraph"/>
        <w:numPr>
          <w:ilvl w:val="0"/>
          <w:numId w:val="15"/>
        </w:numPr>
        <w:jc w:val="both"/>
        <w:rPr>
          <w:rFonts w:ascii="Times New Roman" w:hAnsi="Times New Roman"/>
          <w:b/>
          <w:szCs w:val="18"/>
          <w:lang w:val="en-GB" w:eastAsia="ko-KR"/>
        </w:rPr>
      </w:pPr>
      <w:r>
        <w:rPr>
          <w:rFonts w:ascii="Times New Roman" w:hAnsi="Times New Roman"/>
          <w:b/>
          <w:iCs/>
          <w:szCs w:val="18"/>
          <w:lang w:val="en-GB" w:eastAsia="ko-KR"/>
        </w:rPr>
        <w:t xml:space="preserve">The UE determines whether to reset the closed loop adjustment state </w:t>
      </w:r>
      <w:r w:rsidRPr="00BD4DF4">
        <w:rPr>
          <w:rFonts w:ascii="Times New Roman" w:hAnsi="Times New Roman"/>
          <w:b/>
          <w:iCs/>
          <w:szCs w:val="18"/>
          <w:lang w:val="en-GB" w:eastAsia="ko-KR"/>
        </w:rPr>
        <w:t xml:space="preserve">for </w:t>
      </w:r>
      <m:oMath>
        <m:r>
          <m:rPr>
            <m:sty m:val="bi"/>
          </m:rPr>
          <w:rPr>
            <w:rFonts w:ascii="Cambria Math" w:hAnsi="Cambria Math"/>
          </w:rPr>
          <m:t>l=0</m:t>
        </m:r>
      </m:oMath>
      <w:r w:rsidRPr="00BD4DF4">
        <w:rPr>
          <w:rFonts w:ascii="Times New Roman" w:hAnsi="Times New Roman"/>
          <w:b/>
        </w:rPr>
        <w:t xml:space="preserve"> or </w:t>
      </w:r>
      <m:oMath>
        <m:r>
          <m:rPr>
            <m:sty m:val="bi"/>
          </m:rPr>
          <w:rPr>
            <w:rFonts w:ascii="Cambria Math" w:hAnsi="Cambria Math"/>
          </w:rPr>
          <m:t>l=1</m:t>
        </m:r>
      </m:oMath>
      <w:r w:rsidRPr="00BD4DF4">
        <w:rPr>
          <w:rFonts w:ascii="Times New Roman" w:hAnsi="Times New Roman"/>
          <w:b/>
        </w:rPr>
        <w:t xml:space="preserve"> based</w:t>
      </w:r>
      <w:r>
        <w:rPr>
          <w:rFonts w:ascii="Times New Roman" w:hAnsi="Times New Roman"/>
          <w:b/>
        </w:rPr>
        <w:t xml:space="preserve"> on whether the PRACH is toward the first TRP or the second TRP.</w:t>
      </w:r>
    </w:p>
    <w:p w14:paraId="16210186" w14:textId="77777777" w:rsidR="0079769F" w:rsidRPr="00EB0885" w:rsidRDefault="0079769F" w:rsidP="0079769F">
      <w:pPr>
        <w:pStyle w:val="ListParagraph"/>
        <w:numPr>
          <w:ilvl w:val="1"/>
          <w:numId w:val="15"/>
        </w:numPr>
        <w:jc w:val="both"/>
        <w:rPr>
          <w:rFonts w:ascii="Times New Roman" w:hAnsi="Times New Roman"/>
          <w:b/>
          <w:szCs w:val="18"/>
          <w:lang w:val="en-GB" w:eastAsia="ko-KR"/>
        </w:rPr>
      </w:pPr>
      <w:r>
        <w:rPr>
          <w:rFonts w:ascii="Times New Roman" w:hAnsi="Times New Roman"/>
          <w:b/>
        </w:rPr>
        <w:t>For inter-cell: The determination is based on whether the serving cell PCI or the additional PCI is indicated in the PDCCH order.</w:t>
      </w:r>
    </w:p>
    <w:p w14:paraId="0B442D67" w14:textId="77777777" w:rsidR="0079769F" w:rsidRPr="00776EB5" w:rsidRDefault="0079769F" w:rsidP="0079769F">
      <w:pPr>
        <w:pStyle w:val="ListParagraph"/>
        <w:numPr>
          <w:ilvl w:val="1"/>
          <w:numId w:val="15"/>
        </w:numPr>
        <w:jc w:val="both"/>
        <w:rPr>
          <w:rFonts w:ascii="Times New Roman" w:hAnsi="Times New Roman"/>
          <w:b/>
          <w:szCs w:val="18"/>
          <w:lang w:val="en-GB" w:eastAsia="ko-KR"/>
        </w:rPr>
      </w:pPr>
      <w:r>
        <w:rPr>
          <w:rFonts w:ascii="Times New Roman" w:hAnsi="Times New Roman"/>
          <w:b/>
        </w:rPr>
        <w:t>For intra-cell: The determination can be either based on an indication in PDCCH order (option 1), or based on the TAG that is indicated in the RAR (option 2).</w:t>
      </w:r>
    </w:p>
    <w:p w14:paraId="518E72FA" w14:textId="77777777" w:rsidR="0079769F" w:rsidRPr="00BD4DF4" w:rsidRDefault="0079769F" w:rsidP="0079769F">
      <w:pPr>
        <w:pStyle w:val="ListParagraph"/>
        <w:numPr>
          <w:ilvl w:val="0"/>
          <w:numId w:val="15"/>
        </w:numPr>
        <w:jc w:val="both"/>
        <w:rPr>
          <w:rFonts w:ascii="Times New Roman" w:hAnsi="Times New Roman"/>
          <w:b/>
          <w:szCs w:val="18"/>
          <w:lang w:val="en-GB" w:eastAsia="ko-KR"/>
        </w:rPr>
      </w:pPr>
      <w:r>
        <w:rPr>
          <w:rFonts w:ascii="Times New Roman" w:hAnsi="Times New Roman"/>
          <w:b/>
        </w:rPr>
        <w:t>Note: The initialization after the reset is similar to legacy.</w:t>
      </w:r>
    </w:p>
    <w:p w14:paraId="1CCA8A03" w14:textId="77777777" w:rsidR="0079769F" w:rsidRPr="001E424D" w:rsidRDefault="0079769F" w:rsidP="001E424D">
      <w:pPr>
        <w:jc w:val="both"/>
        <w:rPr>
          <w:bCs/>
          <w:iCs/>
          <w:sz w:val="22"/>
          <w:szCs w:val="18"/>
          <w:lang w:val="en-GB" w:eastAsia="ko-KR"/>
        </w:rPr>
      </w:pPr>
    </w:p>
    <w:sectPr w:rsidR="0079769F" w:rsidRPr="001E424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14AF" w14:textId="77777777" w:rsidR="0045404D" w:rsidRDefault="0045404D">
      <w:r>
        <w:separator/>
      </w:r>
    </w:p>
  </w:endnote>
  <w:endnote w:type="continuationSeparator" w:id="0">
    <w:p w14:paraId="2BF0A548" w14:textId="77777777" w:rsidR="0045404D" w:rsidRDefault="0045404D">
      <w:r>
        <w:continuationSeparator/>
      </w:r>
    </w:p>
  </w:endnote>
  <w:endnote w:type="continuationNotice" w:id="1">
    <w:p w14:paraId="350C425E" w14:textId="77777777" w:rsidR="0045404D" w:rsidRDefault="00454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5012" w14:textId="77777777" w:rsidR="0045404D" w:rsidRDefault="0045404D">
      <w:r>
        <w:separator/>
      </w:r>
    </w:p>
  </w:footnote>
  <w:footnote w:type="continuationSeparator" w:id="0">
    <w:p w14:paraId="153C6D74" w14:textId="77777777" w:rsidR="0045404D" w:rsidRDefault="0045404D">
      <w:r>
        <w:continuationSeparator/>
      </w:r>
    </w:p>
  </w:footnote>
  <w:footnote w:type="continuationNotice" w:id="1">
    <w:p w14:paraId="081AB513" w14:textId="77777777" w:rsidR="0045404D" w:rsidRDefault="00454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A68A3"/>
    <w:multiLevelType w:val="hybridMultilevel"/>
    <w:tmpl w:val="03669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30343"/>
    <w:multiLevelType w:val="hybridMultilevel"/>
    <w:tmpl w:val="BA944992"/>
    <w:lvl w:ilvl="0" w:tplc="D7627814">
      <w:start w:val="1"/>
      <w:numFmt w:val="bullet"/>
      <w:lvlText w:val=""/>
      <w:lvlJc w:val="left"/>
      <w:pPr>
        <w:tabs>
          <w:tab w:val="num" w:pos="720"/>
        </w:tabs>
        <w:ind w:left="720" w:hanging="360"/>
      </w:pPr>
      <w:rPr>
        <w:rFonts w:ascii="Symbol" w:hAnsi="Symbol" w:hint="default"/>
      </w:rPr>
    </w:lvl>
    <w:lvl w:ilvl="1" w:tplc="3CFCDA3E">
      <w:numFmt w:val="bullet"/>
      <w:lvlText w:val="o"/>
      <w:lvlJc w:val="left"/>
      <w:pPr>
        <w:tabs>
          <w:tab w:val="num" w:pos="1440"/>
        </w:tabs>
        <w:ind w:left="1440" w:hanging="360"/>
      </w:pPr>
      <w:rPr>
        <w:rFonts w:ascii="Courier New" w:hAnsi="Courier New" w:hint="default"/>
      </w:rPr>
    </w:lvl>
    <w:lvl w:ilvl="2" w:tplc="1A883D6C" w:tentative="1">
      <w:start w:val="1"/>
      <w:numFmt w:val="bullet"/>
      <w:lvlText w:val=""/>
      <w:lvlJc w:val="left"/>
      <w:pPr>
        <w:tabs>
          <w:tab w:val="num" w:pos="2160"/>
        </w:tabs>
        <w:ind w:left="2160" w:hanging="360"/>
      </w:pPr>
      <w:rPr>
        <w:rFonts w:ascii="Symbol" w:hAnsi="Symbol" w:hint="default"/>
      </w:rPr>
    </w:lvl>
    <w:lvl w:ilvl="3" w:tplc="D7CA0760" w:tentative="1">
      <w:start w:val="1"/>
      <w:numFmt w:val="bullet"/>
      <w:lvlText w:val=""/>
      <w:lvlJc w:val="left"/>
      <w:pPr>
        <w:tabs>
          <w:tab w:val="num" w:pos="2880"/>
        </w:tabs>
        <w:ind w:left="2880" w:hanging="360"/>
      </w:pPr>
      <w:rPr>
        <w:rFonts w:ascii="Symbol" w:hAnsi="Symbol" w:hint="default"/>
      </w:rPr>
    </w:lvl>
    <w:lvl w:ilvl="4" w:tplc="551A195E" w:tentative="1">
      <w:start w:val="1"/>
      <w:numFmt w:val="bullet"/>
      <w:lvlText w:val=""/>
      <w:lvlJc w:val="left"/>
      <w:pPr>
        <w:tabs>
          <w:tab w:val="num" w:pos="3600"/>
        </w:tabs>
        <w:ind w:left="3600" w:hanging="360"/>
      </w:pPr>
      <w:rPr>
        <w:rFonts w:ascii="Symbol" w:hAnsi="Symbol" w:hint="default"/>
      </w:rPr>
    </w:lvl>
    <w:lvl w:ilvl="5" w:tplc="A6BE6E7E" w:tentative="1">
      <w:start w:val="1"/>
      <w:numFmt w:val="bullet"/>
      <w:lvlText w:val=""/>
      <w:lvlJc w:val="left"/>
      <w:pPr>
        <w:tabs>
          <w:tab w:val="num" w:pos="4320"/>
        </w:tabs>
        <w:ind w:left="4320" w:hanging="360"/>
      </w:pPr>
      <w:rPr>
        <w:rFonts w:ascii="Symbol" w:hAnsi="Symbol" w:hint="default"/>
      </w:rPr>
    </w:lvl>
    <w:lvl w:ilvl="6" w:tplc="610C9B6C" w:tentative="1">
      <w:start w:val="1"/>
      <w:numFmt w:val="bullet"/>
      <w:lvlText w:val=""/>
      <w:lvlJc w:val="left"/>
      <w:pPr>
        <w:tabs>
          <w:tab w:val="num" w:pos="5040"/>
        </w:tabs>
        <w:ind w:left="5040" w:hanging="360"/>
      </w:pPr>
      <w:rPr>
        <w:rFonts w:ascii="Symbol" w:hAnsi="Symbol" w:hint="default"/>
      </w:rPr>
    </w:lvl>
    <w:lvl w:ilvl="7" w:tplc="08920ACE" w:tentative="1">
      <w:start w:val="1"/>
      <w:numFmt w:val="bullet"/>
      <w:lvlText w:val=""/>
      <w:lvlJc w:val="left"/>
      <w:pPr>
        <w:tabs>
          <w:tab w:val="num" w:pos="5760"/>
        </w:tabs>
        <w:ind w:left="5760" w:hanging="360"/>
      </w:pPr>
      <w:rPr>
        <w:rFonts w:ascii="Symbol" w:hAnsi="Symbol" w:hint="default"/>
      </w:rPr>
    </w:lvl>
    <w:lvl w:ilvl="8" w:tplc="FD6EE71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D36980"/>
    <w:multiLevelType w:val="hybridMultilevel"/>
    <w:tmpl w:val="48D2FDDC"/>
    <w:lvl w:ilvl="0" w:tplc="8FF65FC2">
      <w:start w:val="1"/>
      <w:numFmt w:val="bullet"/>
      <w:lvlText w:val=""/>
      <w:lvlJc w:val="left"/>
      <w:pPr>
        <w:tabs>
          <w:tab w:val="num" w:pos="720"/>
        </w:tabs>
        <w:ind w:left="720" w:hanging="360"/>
      </w:pPr>
      <w:rPr>
        <w:rFonts w:ascii="Symbol" w:hAnsi="Symbol" w:hint="default"/>
      </w:rPr>
    </w:lvl>
    <w:lvl w:ilvl="1" w:tplc="0AAA685A" w:tentative="1">
      <w:start w:val="1"/>
      <w:numFmt w:val="bullet"/>
      <w:lvlText w:val=""/>
      <w:lvlJc w:val="left"/>
      <w:pPr>
        <w:tabs>
          <w:tab w:val="num" w:pos="1440"/>
        </w:tabs>
        <w:ind w:left="1440" w:hanging="360"/>
      </w:pPr>
      <w:rPr>
        <w:rFonts w:ascii="Symbol" w:hAnsi="Symbol" w:hint="default"/>
      </w:rPr>
    </w:lvl>
    <w:lvl w:ilvl="2" w:tplc="B9AC95EA" w:tentative="1">
      <w:start w:val="1"/>
      <w:numFmt w:val="bullet"/>
      <w:lvlText w:val=""/>
      <w:lvlJc w:val="left"/>
      <w:pPr>
        <w:tabs>
          <w:tab w:val="num" w:pos="2160"/>
        </w:tabs>
        <w:ind w:left="2160" w:hanging="360"/>
      </w:pPr>
      <w:rPr>
        <w:rFonts w:ascii="Symbol" w:hAnsi="Symbol" w:hint="default"/>
      </w:rPr>
    </w:lvl>
    <w:lvl w:ilvl="3" w:tplc="D5162A66" w:tentative="1">
      <w:start w:val="1"/>
      <w:numFmt w:val="bullet"/>
      <w:lvlText w:val=""/>
      <w:lvlJc w:val="left"/>
      <w:pPr>
        <w:tabs>
          <w:tab w:val="num" w:pos="2880"/>
        </w:tabs>
        <w:ind w:left="2880" w:hanging="360"/>
      </w:pPr>
      <w:rPr>
        <w:rFonts w:ascii="Symbol" w:hAnsi="Symbol" w:hint="default"/>
      </w:rPr>
    </w:lvl>
    <w:lvl w:ilvl="4" w:tplc="F8C68FCE" w:tentative="1">
      <w:start w:val="1"/>
      <w:numFmt w:val="bullet"/>
      <w:lvlText w:val=""/>
      <w:lvlJc w:val="left"/>
      <w:pPr>
        <w:tabs>
          <w:tab w:val="num" w:pos="3600"/>
        </w:tabs>
        <w:ind w:left="3600" w:hanging="360"/>
      </w:pPr>
      <w:rPr>
        <w:rFonts w:ascii="Symbol" w:hAnsi="Symbol" w:hint="default"/>
      </w:rPr>
    </w:lvl>
    <w:lvl w:ilvl="5" w:tplc="68700AC4" w:tentative="1">
      <w:start w:val="1"/>
      <w:numFmt w:val="bullet"/>
      <w:lvlText w:val=""/>
      <w:lvlJc w:val="left"/>
      <w:pPr>
        <w:tabs>
          <w:tab w:val="num" w:pos="4320"/>
        </w:tabs>
        <w:ind w:left="4320" w:hanging="360"/>
      </w:pPr>
      <w:rPr>
        <w:rFonts w:ascii="Symbol" w:hAnsi="Symbol" w:hint="default"/>
      </w:rPr>
    </w:lvl>
    <w:lvl w:ilvl="6" w:tplc="64860538" w:tentative="1">
      <w:start w:val="1"/>
      <w:numFmt w:val="bullet"/>
      <w:lvlText w:val=""/>
      <w:lvlJc w:val="left"/>
      <w:pPr>
        <w:tabs>
          <w:tab w:val="num" w:pos="5040"/>
        </w:tabs>
        <w:ind w:left="5040" w:hanging="360"/>
      </w:pPr>
      <w:rPr>
        <w:rFonts w:ascii="Symbol" w:hAnsi="Symbol" w:hint="default"/>
      </w:rPr>
    </w:lvl>
    <w:lvl w:ilvl="7" w:tplc="B7F82920" w:tentative="1">
      <w:start w:val="1"/>
      <w:numFmt w:val="bullet"/>
      <w:lvlText w:val=""/>
      <w:lvlJc w:val="left"/>
      <w:pPr>
        <w:tabs>
          <w:tab w:val="num" w:pos="5760"/>
        </w:tabs>
        <w:ind w:left="5760" w:hanging="360"/>
      </w:pPr>
      <w:rPr>
        <w:rFonts w:ascii="Symbol" w:hAnsi="Symbol" w:hint="default"/>
      </w:rPr>
    </w:lvl>
    <w:lvl w:ilvl="8" w:tplc="F8CC5C5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27AF2D12"/>
    <w:multiLevelType w:val="hybridMultilevel"/>
    <w:tmpl w:val="715C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01258"/>
    <w:multiLevelType w:val="hybridMultilevel"/>
    <w:tmpl w:val="EA52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98B3E4F"/>
    <w:multiLevelType w:val="hybridMultilevel"/>
    <w:tmpl w:val="68FE4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A71BA0"/>
    <w:multiLevelType w:val="hybridMultilevel"/>
    <w:tmpl w:val="16D41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63A6E"/>
    <w:multiLevelType w:val="hybridMultilevel"/>
    <w:tmpl w:val="7966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467D1"/>
    <w:multiLevelType w:val="hybridMultilevel"/>
    <w:tmpl w:val="0BBA3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FC42E2"/>
    <w:multiLevelType w:val="hybridMultilevel"/>
    <w:tmpl w:val="172C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BB1124"/>
    <w:multiLevelType w:val="multilevel"/>
    <w:tmpl w:val="9B8A9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4"/>
    <w:lvlOverride w:ilvl="0">
      <w:startOverride w:val="1"/>
    </w:lvlOverride>
  </w:num>
  <w:num w:numId="4">
    <w:abstractNumId w:val="0"/>
  </w:num>
  <w:num w:numId="5">
    <w:abstractNumId w:val="4"/>
  </w:num>
  <w:num w:numId="6">
    <w:abstractNumId w:val="3"/>
  </w:num>
  <w:num w:numId="7">
    <w:abstractNumId w:val="13"/>
  </w:num>
  <w:num w:numId="8">
    <w:abstractNumId w:val="21"/>
  </w:num>
  <w:num w:numId="9">
    <w:abstractNumId w:val="22"/>
  </w:num>
  <w:num w:numId="10">
    <w:abstractNumId w:val="1"/>
  </w:num>
  <w:num w:numId="11">
    <w:abstractNumId w:val="20"/>
  </w:num>
  <w:num w:numId="12">
    <w:abstractNumId w:val="5"/>
  </w:num>
  <w:num w:numId="13">
    <w:abstractNumId w:val="16"/>
  </w:num>
  <w:num w:numId="14">
    <w:abstractNumId w:val="12"/>
  </w:num>
  <w:num w:numId="15">
    <w:abstractNumId w:val="24"/>
  </w:num>
  <w:num w:numId="16">
    <w:abstractNumId w:val="18"/>
  </w:num>
  <w:num w:numId="17">
    <w:abstractNumId w:val="23"/>
  </w:num>
  <w:num w:numId="18">
    <w:abstractNumId w:val="15"/>
  </w:num>
  <w:num w:numId="19">
    <w:abstractNumId w:val="17"/>
  </w:num>
  <w:num w:numId="20">
    <w:abstractNumId w:val="7"/>
  </w:num>
  <w:num w:numId="21">
    <w:abstractNumId w:val="6"/>
  </w:num>
  <w:num w:numId="22">
    <w:abstractNumId w:val="9"/>
  </w:num>
  <w:num w:numId="23">
    <w:abstractNumId w:val="8"/>
  </w:num>
  <w:num w:numId="24">
    <w:abstractNumId w:val="19"/>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37"/>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B93"/>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7C"/>
    <w:rsid w:val="00006ED8"/>
    <w:rsid w:val="00007304"/>
    <w:rsid w:val="0000738D"/>
    <w:rsid w:val="00007495"/>
    <w:rsid w:val="0000792C"/>
    <w:rsid w:val="00007B4B"/>
    <w:rsid w:val="00007C91"/>
    <w:rsid w:val="000101EF"/>
    <w:rsid w:val="00010667"/>
    <w:rsid w:val="0001073C"/>
    <w:rsid w:val="00010CEE"/>
    <w:rsid w:val="00010E97"/>
    <w:rsid w:val="00010FD1"/>
    <w:rsid w:val="0001117C"/>
    <w:rsid w:val="0001134E"/>
    <w:rsid w:val="00011D35"/>
    <w:rsid w:val="000124D1"/>
    <w:rsid w:val="00012B5F"/>
    <w:rsid w:val="00012D57"/>
    <w:rsid w:val="00012EE9"/>
    <w:rsid w:val="0001321B"/>
    <w:rsid w:val="0001328A"/>
    <w:rsid w:val="00013639"/>
    <w:rsid w:val="000137BA"/>
    <w:rsid w:val="00013B63"/>
    <w:rsid w:val="00013BC7"/>
    <w:rsid w:val="00013F64"/>
    <w:rsid w:val="000141F0"/>
    <w:rsid w:val="00014351"/>
    <w:rsid w:val="0001458F"/>
    <w:rsid w:val="00014B91"/>
    <w:rsid w:val="00014E0E"/>
    <w:rsid w:val="00015062"/>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898"/>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5DED"/>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2E83"/>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53"/>
    <w:rsid w:val="000416DE"/>
    <w:rsid w:val="0004182E"/>
    <w:rsid w:val="00041833"/>
    <w:rsid w:val="0004189A"/>
    <w:rsid w:val="000418C8"/>
    <w:rsid w:val="0004198E"/>
    <w:rsid w:val="00041D52"/>
    <w:rsid w:val="00041EC3"/>
    <w:rsid w:val="0004202B"/>
    <w:rsid w:val="00042326"/>
    <w:rsid w:val="00042541"/>
    <w:rsid w:val="00042A14"/>
    <w:rsid w:val="00042BFC"/>
    <w:rsid w:val="000430CF"/>
    <w:rsid w:val="00043407"/>
    <w:rsid w:val="00043703"/>
    <w:rsid w:val="000437F9"/>
    <w:rsid w:val="00043B30"/>
    <w:rsid w:val="000441D7"/>
    <w:rsid w:val="00044225"/>
    <w:rsid w:val="00044576"/>
    <w:rsid w:val="00044872"/>
    <w:rsid w:val="00044A5B"/>
    <w:rsid w:val="00044EBC"/>
    <w:rsid w:val="00044F4F"/>
    <w:rsid w:val="00044FC4"/>
    <w:rsid w:val="000451E5"/>
    <w:rsid w:val="000453F6"/>
    <w:rsid w:val="0004545E"/>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A4C"/>
    <w:rsid w:val="00050D20"/>
    <w:rsid w:val="00051135"/>
    <w:rsid w:val="000512E9"/>
    <w:rsid w:val="000515F7"/>
    <w:rsid w:val="000516D2"/>
    <w:rsid w:val="00051881"/>
    <w:rsid w:val="00051C67"/>
    <w:rsid w:val="00051FA4"/>
    <w:rsid w:val="0005201C"/>
    <w:rsid w:val="000522CE"/>
    <w:rsid w:val="0005241E"/>
    <w:rsid w:val="0005259E"/>
    <w:rsid w:val="00052789"/>
    <w:rsid w:val="0005291A"/>
    <w:rsid w:val="00052AE3"/>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625F"/>
    <w:rsid w:val="000572A7"/>
    <w:rsid w:val="000572AE"/>
    <w:rsid w:val="00057388"/>
    <w:rsid w:val="000574F0"/>
    <w:rsid w:val="00057B42"/>
    <w:rsid w:val="00057DF9"/>
    <w:rsid w:val="00057F68"/>
    <w:rsid w:val="00057F6C"/>
    <w:rsid w:val="000603B8"/>
    <w:rsid w:val="00060434"/>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461"/>
    <w:rsid w:val="000646B1"/>
    <w:rsid w:val="0006480B"/>
    <w:rsid w:val="00064848"/>
    <w:rsid w:val="00064862"/>
    <w:rsid w:val="00064A2B"/>
    <w:rsid w:val="00064B46"/>
    <w:rsid w:val="00064D41"/>
    <w:rsid w:val="00065016"/>
    <w:rsid w:val="00065031"/>
    <w:rsid w:val="0006549C"/>
    <w:rsid w:val="00065597"/>
    <w:rsid w:val="000659DD"/>
    <w:rsid w:val="00065D64"/>
    <w:rsid w:val="00065D68"/>
    <w:rsid w:val="000667D1"/>
    <w:rsid w:val="00066861"/>
    <w:rsid w:val="00066F23"/>
    <w:rsid w:val="00066F75"/>
    <w:rsid w:val="00066F91"/>
    <w:rsid w:val="00067087"/>
    <w:rsid w:val="0006709E"/>
    <w:rsid w:val="0006739D"/>
    <w:rsid w:val="0006777C"/>
    <w:rsid w:val="00067FE2"/>
    <w:rsid w:val="00070192"/>
    <w:rsid w:val="0007020C"/>
    <w:rsid w:val="0007077B"/>
    <w:rsid w:val="00070D61"/>
    <w:rsid w:val="0007118F"/>
    <w:rsid w:val="00071223"/>
    <w:rsid w:val="0007162A"/>
    <w:rsid w:val="000716FB"/>
    <w:rsid w:val="000719E6"/>
    <w:rsid w:val="00071A93"/>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77C20"/>
    <w:rsid w:val="0008022A"/>
    <w:rsid w:val="00080418"/>
    <w:rsid w:val="000805B2"/>
    <w:rsid w:val="00080D74"/>
    <w:rsid w:val="00080DAD"/>
    <w:rsid w:val="00081359"/>
    <w:rsid w:val="00081383"/>
    <w:rsid w:val="00081937"/>
    <w:rsid w:val="00081F2B"/>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CB5"/>
    <w:rsid w:val="00083D0E"/>
    <w:rsid w:val="00084255"/>
    <w:rsid w:val="0008483F"/>
    <w:rsid w:val="00084D3C"/>
    <w:rsid w:val="00084FCD"/>
    <w:rsid w:val="000850B1"/>
    <w:rsid w:val="00085239"/>
    <w:rsid w:val="0008532F"/>
    <w:rsid w:val="00085405"/>
    <w:rsid w:val="00085DA3"/>
    <w:rsid w:val="00085E9E"/>
    <w:rsid w:val="00085F08"/>
    <w:rsid w:val="000862BA"/>
    <w:rsid w:val="000862F6"/>
    <w:rsid w:val="00086918"/>
    <w:rsid w:val="00086965"/>
    <w:rsid w:val="00086B50"/>
    <w:rsid w:val="00086C4D"/>
    <w:rsid w:val="00087350"/>
    <w:rsid w:val="000875D0"/>
    <w:rsid w:val="0008760B"/>
    <w:rsid w:val="0008782D"/>
    <w:rsid w:val="00087965"/>
    <w:rsid w:val="00087A6F"/>
    <w:rsid w:val="00087CF3"/>
    <w:rsid w:val="00087E29"/>
    <w:rsid w:val="0009037D"/>
    <w:rsid w:val="00090394"/>
    <w:rsid w:val="00090573"/>
    <w:rsid w:val="00091496"/>
    <w:rsid w:val="00091A51"/>
    <w:rsid w:val="00091C98"/>
    <w:rsid w:val="000921E3"/>
    <w:rsid w:val="00092775"/>
    <w:rsid w:val="000927BE"/>
    <w:rsid w:val="00092A3D"/>
    <w:rsid w:val="00092E3E"/>
    <w:rsid w:val="00092E9A"/>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9A5"/>
    <w:rsid w:val="000A0CA1"/>
    <w:rsid w:val="000A0CC6"/>
    <w:rsid w:val="000A0E99"/>
    <w:rsid w:val="000A0EA3"/>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255"/>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C82"/>
    <w:rsid w:val="000A7C88"/>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75"/>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7"/>
    <w:rsid w:val="000C1DC8"/>
    <w:rsid w:val="000C1DD1"/>
    <w:rsid w:val="000C1EDB"/>
    <w:rsid w:val="000C200B"/>
    <w:rsid w:val="000C23AF"/>
    <w:rsid w:val="000C240A"/>
    <w:rsid w:val="000C2641"/>
    <w:rsid w:val="000C26FF"/>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C7B53"/>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85B"/>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89B"/>
    <w:rsid w:val="000E0950"/>
    <w:rsid w:val="000E0D89"/>
    <w:rsid w:val="000E0EC2"/>
    <w:rsid w:val="000E1003"/>
    <w:rsid w:val="000E14B9"/>
    <w:rsid w:val="000E1608"/>
    <w:rsid w:val="000E182B"/>
    <w:rsid w:val="000E19D4"/>
    <w:rsid w:val="000E1E8E"/>
    <w:rsid w:val="000E2436"/>
    <w:rsid w:val="000E2787"/>
    <w:rsid w:val="000E279B"/>
    <w:rsid w:val="000E299E"/>
    <w:rsid w:val="000E2C9A"/>
    <w:rsid w:val="000E3075"/>
    <w:rsid w:val="000E331F"/>
    <w:rsid w:val="000E3358"/>
    <w:rsid w:val="000E33DF"/>
    <w:rsid w:val="000E3653"/>
    <w:rsid w:val="000E3665"/>
    <w:rsid w:val="000E38ED"/>
    <w:rsid w:val="000E3941"/>
    <w:rsid w:val="000E3F84"/>
    <w:rsid w:val="000E40C3"/>
    <w:rsid w:val="000E4A51"/>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6F86"/>
    <w:rsid w:val="000E7197"/>
    <w:rsid w:val="000E7269"/>
    <w:rsid w:val="000E7414"/>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135"/>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100097"/>
    <w:rsid w:val="001000E9"/>
    <w:rsid w:val="00100161"/>
    <w:rsid w:val="00100169"/>
    <w:rsid w:val="0010030F"/>
    <w:rsid w:val="0010067A"/>
    <w:rsid w:val="00100707"/>
    <w:rsid w:val="00100B4C"/>
    <w:rsid w:val="001010D7"/>
    <w:rsid w:val="00101489"/>
    <w:rsid w:val="001017C8"/>
    <w:rsid w:val="00101A0E"/>
    <w:rsid w:val="00101ACE"/>
    <w:rsid w:val="00101C6B"/>
    <w:rsid w:val="00101D3E"/>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567"/>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240F"/>
    <w:rsid w:val="00122727"/>
    <w:rsid w:val="00122842"/>
    <w:rsid w:val="00122860"/>
    <w:rsid w:val="0012288D"/>
    <w:rsid w:val="00122ABA"/>
    <w:rsid w:val="00122BD3"/>
    <w:rsid w:val="00123012"/>
    <w:rsid w:val="00123260"/>
    <w:rsid w:val="001232FA"/>
    <w:rsid w:val="001233AD"/>
    <w:rsid w:val="0012345C"/>
    <w:rsid w:val="001235B3"/>
    <w:rsid w:val="00123818"/>
    <w:rsid w:val="0012392D"/>
    <w:rsid w:val="00123975"/>
    <w:rsid w:val="001239E7"/>
    <w:rsid w:val="00123B5E"/>
    <w:rsid w:val="00123DED"/>
    <w:rsid w:val="00123FFC"/>
    <w:rsid w:val="0012467D"/>
    <w:rsid w:val="001246EC"/>
    <w:rsid w:val="001249D7"/>
    <w:rsid w:val="001249FC"/>
    <w:rsid w:val="00124E10"/>
    <w:rsid w:val="00124E6F"/>
    <w:rsid w:val="00124FCD"/>
    <w:rsid w:val="00125078"/>
    <w:rsid w:val="001251EA"/>
    <w:rsid w:val="001252FE"/>
    <w:rsid w:val="001255A6"/>
    <w:rsid w:val="0012569A"/>
    <w:rsid w:val="00125D34"/>
    <w:rsid w:val="0012630F"/>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05F"/>
    <w:rsid w:val="001321CE"/>
    <w:rsid w:val="001322B0"/>
    <w:rsid w:val="00132671"/>
    <w:rsid w:val="00132767"/>
    <w:rsid w:val="00132917"/>
    <w:rsid w:val="00132E89"/>
    <w:rsid w:val="0013334C"/>
    <w:rsid w:val="00133AFE"/>
    <w:rsid w:val="00133BD1"/>
    <w:rsid w:val="00133CAB"/>
    <w:rsid w:val="00133EBD"/>
    <w:rsid w:val="00133F00"/>
    <w:rsid w:val="00133FF9"/>
    <w:rsid w:val="00134026"/>
    <w:rsid w:val="0013466A"/>
    <w:rsid w:val="00134737"/>
    <w:rsid w:val="00134962"/>
    <w:rsid w:val="00134B43"/>
    <w:rsid w:val="00134CAD"/>
    <w:rsid w:val="00134FEB"/>
    <w:rsid w:val="00135015"/>
    <w:rsid w:val="0013506C"/>
    <w:rsid w:val="00135095"/>
    <w:rsid w:val="0013531B"/>
    <w:rsid w:val="00135517"/>
    <w:rsid w:val="00135829"/>
    <w:rsid w:val="00135884"/>
    <w:rsid w:val="001358A7"/>
    <w:rsid w:val="001358C7"/>
    <w:rsid w:val="001358F4"/>
    <w:rsid w:val="00135A9B"/>
    <w:rsid w:val="0013612A"/>
    <w:rsid w:val="00136998"/>
    <w:rsid w:val="00136AAD"/>
    <w:rsid w:val="0013726A"/>
    <w:rsid w:val="00137280"/>
    <w:rsid w:val="00137288"/>
    <w:rsid w:val="00137367"/>
    <w:rsid w:val="00137480"/>
    <w:rsid w:val="001375B9"/>
    <w:rsid w:val="001376F7"/>
    <w:rsid w:val="00137C65"/>
    <w:rsid w:val="0014005B"/>
    <w:rsid w:val="0014044C"/>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973"/>
    <w:rsid w:val="00146EBB"/>
    <w:rsid w:val="0014722F"/>
    <w:rsid w:val="001472F3"/>
    <w:rsid w:val="0014758D"/>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B79"/>
    <w:rsid w:val="00152066"/>
    <w:rsid w:val="001520D7"/>
    <w:rsid w:val="001524EA"/>
    <w:rsid w:val="00152559"/>
    <w:rsid w:val="0015294A"/>
    <w:rsid w:val="00152A3B"/>
    <w:rsid w:val="00153370"/>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29F"/>
    <w:rsid w:val="00155615"/>
    <w:rsid w:val="0015578A"/>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76D"/>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BBB"/>
    <w:rsid w:val="00173D38"/>
    <w:rsid w:val="00174DDB"/>
    <w:rsid w:val="00174FD1"/>
    <w:rsid w:val="00175009"/>
    <w:rsid w:val="00175187"/>
    <w:rsid w:val="001751E9"/>
    <w:rsid w:val="001752EC"/>
    <w:rsid w:val="0017548A"/>
    <w:rsid w:val="001756A8"/>
    <w:rsid w:val="00175808"/>
    <w:rsid w:val="00175B5A"/>
    <w:rsid w:val="00175EF2"/>
    <w:rsid w:val="00176414"/>
    <w:rsid w:val="00176BD4"/>
    <w:rsid w:val="00176BDB"/>
    <w:rsid w:val="00176D10"/>
    <w:rsid w:val="00176F3C"/>
    <w:rsid w:val="001770B3"/>
    <w:rsid w:val="0017714C"/>
    <w:rsid w:val="0017722E"/>
    <w:rsid w:val="00177446"/>
    <w:rsid w:val="00177482"/>
    <w:rsid w:val="00177711"/>
    <w:rsid w:val="001778FA"/>
    <w:rsid w:val="00177999"/>
    <w:rsid w:val="00177A0D"/>
    <w:rsid w:val="00177A61"/>
    <w:rsid w:val="00177AAA"/>
    <w:rsid w:val="00177AC2"/>
    <w:rsid w:val="00177BD9"/>
    <w:rsid w:val="00177DFF"/>
    <w:rsid w:val="00177EBD"/>
    <w:rsid w:val="001800D6"/>
    <w:rsid w:val="0018016C"/>
    <w:rsid w:val="001806A9"/>
    <w:rsid w:val="00180786"/>
    <w:rsid w:val="00180860"/>
    <w:rsid w:val="0018087F"/>
    <w:rsid w:val="00180ADC"/>
    <w:rsid w:val="00180D33"/>
    <w:rsid w:val="00180D96"/>
    <w:rsid w:val="00180E60"/>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E8"/>
    <w:rsid w:val="00196F9C"/>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734"/>
    <w:rsid w:val="001A3974"/>
    <w:rsid w:val="001A3B65"/>
    <w:rsid w:val="001A3F0F"/>
    <w:rsid w:val="001A3F7A"/>
    <w:rsid w:val="001A3FA5"/>
    <w:rsid w:val="001A41A8"/>
    <w:rsid w:val="001A451B"/>
    <w:rsid w:val="001A4ED8"/>
    <w:rsid w:val="001A4EDF"/>
    <w:rsid w:val="001A586A"/>
    <w:rsid w:val="001A5DF9"/>
    <w:rsid w:val="001A608F"/>
    <w:rsid w:val="001A6126"/>
    <w:rsid w:val="001A6164"/>
    <w:rsid w:val="001A6187"/>
    <w:rsid w:val="001A61A0"/>
    <w:rsid w:val="001A6563"/>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3D3"/>
    <w:rsid w:val="001B095B"/>
    <w:rsid w:val="001B0B42"/>
    <w:rsid w:val="001B0D84"/>
    <w:rsid w:val="001B142E"/>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BF4"/>
    <w:rsid w:val="001C14E8"/>
    <w:rsid w:val="001C1544"/>
    <w:rsid w:val="001C15C0"/>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0EC"/>
    <w:rsid w:val="001C5128"/>
    <w:rsid w:val="001C54B8"/>
    <w:rsid w:val="001C589B"/>
    <w:rsid w:val="001C58A6"/>
    <w:rsid w:val="001C5BC8"/>
    <w:rsid w:val="001C5DBB"/>
    <w:rsid w:val="001C5F88"/>
    <w:rsid w:val="001C6105"/>
    <w:rsid w:val="001C6154"/>
    <w:rsid w:val="001C6182"/>
    <w:rsid w:val="001C618D"/>
    <w:rsid w:val="001C619C"/>
    <w:rsid w:val="001C62D8"/>
    <w:rsid w:val="001C632B"/>
    <w:rsid w:val="001C66D2"/>
    <w:rsid w:val="001C6C14"/>
    <w:rsid w:val="001C713C"/>
    <w:rsid w:val="001C7374"/>
    <w:rsid w:val="001C7539"/>
    <w:rsid w:val="001C7F47"/>
    <w:rsid w:val="001C7FBA"/>
    <w:rsid w:val="001D004B"/>
    <w:rsid w:val="001D006C"/>
    <w:rsid w:val="001D056C"/>
    <w:rsid w:val="001D0578"/>
    <w:rsid w:val="001D0593"/>
    <w:rsid w:val="001D070D"/>
    <w:rsid w:val="001D0A5B"/>
    <w:rsid w:val="001D0D7C"/>
    <w:rsid w:val="001D0F20"/>
    <w:rsid w:val="001D1258"/>
    <w:rsid w:val="001D125F"/>
    <w:rsid w:val="001D1463"/>
    <w:rsid w:val="001D19F8"/>
    <w:rsid w:val="001D1CFF"/>
    <w:rsid w:val="001D1DA4"/>
    <w:rsid w:val="001D1FA5"/>
    <w:rsid w:val="001D1FBB"/>
    <w:rsid w:val="001D293D"/>
    <w:rsid w:val="001D2B3C"/>
    <w:rsid w:val="001D2B70"/>
    <w:rsid w:val="001D2E6C"/>
    <w:rsid w:val="001D3136"/>
    <w:rsid w:val="001D34AC"/>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3CD"/>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24D"/>
    <w:rsid w:val="001E4345"/>
    <w:rsid w:val="001E4704"/>
    <w:rsid w:val="001E4C4A"/>
    <w:rsid w:val="001E4D1C"/>
    <w:rsid w:val="001E5290"/>
    <w:rsid w:val="001E5BB2"/>
    <w:rsid w:val="001E5D1F"/>
    <w:rsid w:val="001E5D3A"/>
    <w:rsid w:val="001E5DF8"/>
    <w:rsid w:val="001E5E2E"/>
    <w:rsid w:val="001E605E"/>
    <w:rsid w:val="001E6313"/>
    <w:rsid w:val="001E6318"/>
    <w:rsid w:val="001E6692"/>
    <w:rsid w:val="001E66D9"/>
    <w:rsid w:val="001E6870"/>
    <w:rsid w:val="001E6BDA"/>
    <w:rsid w:val="001E6C1B"/>
    <w:rsid w:val="001E6D40"/>
    <w:rsid w:val="001E719A"/>
    <w:rsid w:val="001E73B5"/>
    <w:rsid w:val="001E750C"/>
    <w:rsid w:val="001E76A9"/>
    <w:rsid w:val="001E7A8F"/>
    <w:rsid w:val="001F020C"/>
    <w:rsid w:val="001F04D5"/>
    <w:rsid w:val="001F0546"/>
    <w:rsid w:val="001F0574"/>
    <w:rsid w:val="001F092D"/>
    <w:rsid w:val="001F0999"/>
    <w:rsid w:val="001F0DDF"/>
    <w:rsid w:val="001F0EE0"/>
    <w:rsid w:val="001F1894"/>
    <w:rsid w:val="001F18E2"/>
    <w:rsid w:val="001F1B1E"/>
    <w:rsid w:val="001F1BEA"/>
    <w:rsid w:val="001F1D2A"/>
    <w:rsid w:val="001F1DFA"/>
    <w:rsid w:val="001F1E26"/>
    <w:rsid w:val="001F1FD7"/>
    <w:rsid w:val="001F22A9"/>
    <w:rsid w:val="001F2325"/>
    <w:rsid w:val="001F26E9"/>
    <w:rsid w:val="001F27AB"/>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524"/>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2D"/>
    <w:rsid w:val="00210F42"/>
    <w:rsid w:val="00210FB5"/>
    <w:rsid w:val="00211042"/>
    <w:rsid w:val="00211173"/>
    <w:rsid w:val="00211345"/>
    <w:rsid w:val="002114FA"/>
    <w:rsid w:val="00211744"/>
    <w:rsid w:val="00211B2B"/>
    <w:rsid w:val="00211D31"/>
    <w:rsid w:val="00211DD9"/>
    <w:rsid w:val="00211F19"/>
    <w:rsid w:val="002123F7"/>
    <w:rsid w:val="00212578"/>
    <w:rsid w:val="00212816"/>
    <w:rsid w:val="0021283E"/>
    <w:rsid w:val="002130BD"/>
    <w:rsid w:val="00213618"/>
    <w:rsid w:val="00213851"/>
    <w:rsid w:val="00213D75"/>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470"/>
    <w:rsid w:val="0022173A"/>
    <w:rsid w:val="002219DC"/>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8E9"/>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B24"/>
    <w:rsid w:val="00232E9D"/>
    <w:rsid w:val="00232FA2"/>
    <w:rsid w:val="0023321B"/>
    <w:rsid w:val="0023324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3FE"/>
    <w:rsid w:val="002368FF"/>
    <w:rsid w:val="002369BA"/>
    <w:rsid w:val="00236F71"/>
    <w:rsid w:val="00237208"/>
    <w:rsid w:val="002373FC"/>
    <w:rsid w:val="002375AD"/>
    <w:rsid w:val="002376CB"/>
    <w:rsid w:val="00237B26"/>
    <w:rsid w:val="00237C6F"/>
    <w:rsid w:val="00237C82"/>
    <w:rsid w:val="00237D22"/>
    <w:rsid w:val="0024029F"/>
    <w:rsid w:val="0024030B"/>
    <w:rsid w:val="00240956"/>
    <w:rsid w:val="002409CE"/>
    <w:rsid w:val="00240B7D"/>
    <w:rsid w:val="00240ECF"/>
    <w:rsid w:val="00240F65"/>
    <w:rsid w:val="0024103F"/>
    <w:rsid w:val="00241599"/>
    <w:rsid w:val="00241809"/>
    <w:rsid w:val="00241812"/>
    <w:rsid w:val="00241823"/>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78C"/>
    <w:rsid w:val="00244852"/>
    <w:rsid w:val="00244924"/>
    <w:rsid w:val="002449C8"/>
    <w:rsid w:val="002449F4"/>
    <w:rsid w:val="00244AF7"/>
    <w:rsid w:val="00244DA2"/>
    <w:rsid w:val="0024520E"/>
    <w:rsid w:val="0024530E"/>
    <w:rsid w:val="00245319"/>
    <w:rsid w:val="00245463"/>
    <w:rsid w:val="00245477"/>
    <w:rsid w:val="00245492"/>
    <w:rsid w:val="002454B5"/>
    <w:rsid w:val="00245581"/>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6CF"/>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E8B"/>
    <w:rsid w:val="00260FAD"/>
    <w:rsid w:val="0026138B"/>
    <w:rsid w:val="00261624"/>
    <w:rsid w:val="002617F6"/>
    <w:rsid w:val="00261827"/>
    <w:rsid w:val="0026194F"/>
    <w:rsid w:val="00261D05"/>
    <w:rsid w:val="00261E27"/>
    <w:rsid w:val="00261F22"/>
    <w:rsid w:val="002622AB"/>
    <w:rsid w:val="002623AC"/>
    <w:rsid w:val="002624D4"/>
    <w:rsid w:val="00262668"/>
    <w:rsid w:val="002626EA"/>
    <w:rsid w:val="0026272D"/>
    <w:rsid w:val="00262979"/>
    <w:rsid w:val="00263038"/>
    <w:rsid w:val="002631C7"/>
    <w:rsid w:val="002631DC"/>
    <w:rsid w:val="00263624"/>
    <w:rsid w:val="00263688"/>
    <w:rsid w:val="0026382D"/>
    <w:rsid w:val="0026385F"/>
    <w:rsid w:val="00263BDB"/>
    <w:rsid w:val="00263D46"/>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A6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913"/>
    <w:rsid w:val="00272A82"/>
    <w:rsid w:val="00272C4A"/>
    <w:rsid w:val="00272C60"/>
    <w:rsid w:val="00272D06"/>
    <w:rsid w:val="00272E93"/>
    <w:rsid w:val="00272FEB"/>
    <w:rsid w:val="00273603"/>
    <w:rsid w:val="00273644"/>
    <w:rsid w:val="002738C9"/>
    <w:rsid w:val="00273B2D"/>
    <w:rsid w:val="00273CFB"/>
    <w:rsid w:val="00273DFF"/>
    <w:rsid w:val="0027419B"/>
    <w:rsid w:val="0027446D"/>
    <w:rsid w:val="00274486"/>
    <w:rsid w:val="00274618"/>
    <w:rsid w:val="00274668"/>
    <w:rsid w:val="00274924"/>
    <w:rsid w:val="00274B77"/>
    <w:rsid w:val="00274CE5"/>
    <w:rsid w:val="00274D08"/>
    <w:rsid w:val="00274D97"/>
    <w:rsid w:val="00274DE3"/>
    <w:rsid w:val="00274FB3"/>
    <w:rsid w:val="00274FCF"/>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02C"/>
    <w:rsid w:val="00282460"/>
    <w:rsid w:val="0028250A"/>
    <w:rsid w:val="002825CE"/>
    <w:rsid w:val="0028295B"/>
    <w:rsid w:val="00282FF4"/>
    <w:rsid w:val="00283165"/>
    <w:rsid w:val="002832E7"/>
    <w:rsid w:val="002833C7"/>
    <w:rsid w:val="0028354B"/>
    <w:rsid w:val="00283706"/>
    <w:rsid w:val="00283BAA"/>
    <w:rsid w:val="00283C29"/>
    <w:rsid w:val="00283FE3"/>
    <w:rsid w:val="00284B3D"/>
    <w:rsid w:val="00284E7F"/>
    <w:rsid w:val="0028550D"/>
    <w:rsid w:val="00285520"/>
    <w:rsid w:val="0028578B"/>
    <w:rsid w:val="00285894"/>
    <w:rsid w:val="00285C1F"/>
    <w:rsid w:val="00285E28"/>
    <w:rsid w:val="00285EA1"/>
    <w:rsid w:val="00286631"/>
    <w:rsid w:val="00286632"/>
    <w:rsid w:val="00286837"/>
    <w:rsid w:val="00286F76"/>
    <w:rsid w:val="00286FB6"/>
    <w:rsid w:val="0028717B"/>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1AB"/>
    <w:rsid w:val="00292540"/>
    <w:rsid w:val="00292AD8"/>
    <w:rsid w:val="00292F8B"/>
    <w:rsid w:val="00293504"/>
    <w:rsid w:val="0029380E"/>
    <w:rsid w:val="002939F5"/>
    <w:rsid w:val="00293C49"/>
    <w:rsid w:val="00294266"/>
    <w:rsid w:val="002944CA"/>
    <w:rsid w:val="00294504"/>
    <w:rsid w:val="00294722"/>
    <w:rsid w:val="00294AB1"/>
    <w:rsid w:val="00294C8C"/>
    <w:rsid w:val="00295004"/>
    <w:rsid w:val="00295226"/>
    <w:rsid w:val="002953D0"/>
    <w:rsid w:val="00295BAD"/>
    <w:rsid w:val="00295F1C"/>
    <w:rsid w:val="00295F33"/>
    <w:rsid w:val="002960D8"/>
    <w:rsid w:val="00296623"/>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771"/>
    <w:rsid w:val="002A37C5"/>
    <w:rsid w:val="002A3AFD"/>
    <w:rsid w:val="002A3B12"/>
    <w:rsid w:val="002A4102"/>
    <w:rsid w:val="002A48CE"/>
    <w:rsid w:val="002A490D"/>
    <w:rsid w:val="002A4918"/>
    <w:rsid w:val="002A4B7D"/>
    <w:rsid w:val="002A4D48"/>
    <w:rsid w:val="002A4E20"/>
    <w:rsid w:val="002A523D"/>
    <w:rsid w:val="002A5DD2"/>
    <w:rsid w:val="002A5F11"/>
    <w:rsid w:val="002A5FC1"/>
    <w:rsid w:val="002A60BE"/>
    <w:rsid w:val="002A6985"/>
    <w:rsid w:val="002A6EF8"/>
    <w:rsid w:val="002A732C"/>
    <w:rsid w:val="002A7707"/>
    <w:rsid w:val="002A7A6A"/>
    <w:rsid w:val="002A7AB4"/>
    <w:rsid w:val="002A7C10"/>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3CF"/>
    <w:rsid w:val="002B64FE"/>
    <w:rsid w:val="002B689C"/>
    <w:rsid w:val="002B694E"/>
    <w:rsid w:val="002B6D31"/>
    <w:rsid w:val="002B6D44"/>
    <w:rsid w:val="002B7538"/>
    <w:rsid w:val="002B7540"/>
    <w:rsid w:val="002B7D56"/>
    <w:rsid w:val="002C0266"/>
    <w:rsid w:val="002C04C2"/>
    <w:rsid w:val="002C0818"/>
    <w:rsid w:val="002C0A1D"/>
    <w:rsid w:val="002C0B2C"/>
    <w:rsid w:val="002C0D11"/>
    <w:rsid w:val="002C0D4E"/>
    <w:rsid w:val="002C138D"/>
    <w:rsid w:val="002C1468"/>
    <w:rsid w:val="002C14BE"/>
    <w:rsid w:val="002C162E"/>
    <w:rsid w:val="002C184B"/>
    <w:rsid w:val="002C1952"/>
    <w:rsid w:val="002C19B9"/>
    <w:rsid w:val="002C19C8"/>
    <w:rsid w:val="002C1B17"/>
    <w:rsid w:val="002C1F92"/>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51B"/>
    <w:rsid w:val="002C76A2"/>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6D"/>
    <w:rsid w:val="002D1072"/>
    <w:rsid w:val="002D1258"/>
    <w:rsid w:val="002D13B7"/>
    <w:rsid w:val="002D1736"/>
    <w:rsid w:val="002D1956"/>
    <w:rsid w:val="002D1D6D"/>
    <w:rsid w:val="002D24CD"/>
    <w:rsid w:val="002D2A16"/>
    <w:rsid w:val="002D2A75"/>
    <w:rsid w:val="002D2B4E"/>
    <w:rsid w:val="002D2B91"/>
    <w:rsid w:val="002D2F08"/>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63"/>
    <w:rsid w:val="002E38B7"/>
    <w:rsid w:val="002E4301"/>
    <w:rsid w:val="002E45DA"/>
    <w:rsid w:val="002E4AC4"/>
    <w:rsid w:val="002E4BFF"/>
    <w:rsid w:val="002E4D3C"/>
    <w:rsid w:val="002E4F05"/>
    <w:rsid w:val="002E4F33"/>
    <w:rsid w:val="002E58E1"/>
    <w:rsid w:val="002E5BC2"/>
    <w:rsid w:val="002E5BDD"/>
    <w:rsid w:val="002E5C56"/>
    <w:rsid w:val="002E5C6E"/>
    <w:rsid w:val="002E5D5E"/>
    <w:rsid w:val="002E5D86"/>
    <w:rsid w:val="002E5DD7"/>
    <w:rsid w:val="002E6112"/>
    <w:rsid w:val="002E6809"/>
    <w:rsid w:val="002E6CF7"/>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72"/>
    <w:rsid w:val="002F4CF5"/>
    <w:rsid w:val="002F4E98"/>
    <w:rsid w:val="002F4FC5"/>
    <w:rsid w:val="002F52CF"/>
    <w:rsid w:val="002F5312"/>
    <w:rsid w:val="002F534F"/>
    <w:rsid w:val="002F53E6"/>
    <w:rsid w:val="002F5422"/>
    <w:rsid w:val="002F5634"/>
    <w:rsid w:val="002F566C"/>
    <w:rsid w:val="002F5874"/>
    <w:rsid w:val="002F5881"/>
    <w:rsid w:val="002F59C1"/>
    <w:rsid w:val="002F5C2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3D2E"/>
    <w:rsid w:val="00304102"/>
    <w:rsid w:val="003041A8"/>
    <w:rsid w:val="00304556"/>
    <w:rsid w:val="00304AC5"/>
    <w:rsid w:val="00304C9E"/>
    <w:rsid w:val="00305133"/>
    <w:rsid w:val="0030563C"/>
    <w:rsid w:val="00306168"/>
    <w:rsid w:val="003065FB"/>
    <w:rsid w:val="00306713"/>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2DB"/>
    <w:rsid w:val="00316420"/>
    <w:rsid w:val="00316ACE"/>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AED"/>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701"/>
    <w:rsid w:val="0032489D"/>
    <w:rsid w:val="003249F8"/>
    <w:rsid w:val="00324B20"/>
    <w:rsid w:val="00324EBF"/>
    <w:rsid w:val="0032546D"/>
    <w:rsid w:val="0032556B"/>
    <w:rsid w:val="00325CB3"/>
    <w:rsid w:val="00326044"/>
    <w:rsid w:val="0032651E"/>
    <w:rsid w:val="003267F9"/>
    <w:rsid w:val="00326B2A"/>
    <w:rsid w:val="00326C67"/>
    <w:rsid w:val="003271E3"/>
    <w:rsid w:val="003272D0"/>
    <w:rsid w:val="00327356"/>
    <w:rsid w:val="003273DE"/>
    <w:rsid w:val="003278C7"/>
    <w:rsid w:val="0032793B"/>
    <w:rsid w:val="00327AEA"/>
    <w:rsid w:val="00327C52"/>
    <w:rsid w:val="00327D99"/>
    <w:rsid w:val="00327FA5"/>
    <w:rsid w:val="00330188"/>
    <w:rsid w:val="0033086C"/>
    <w:rsid w:val="003308C4"/>
    <w:rsid w:val="00330958"/>
    <w:rsid w:val="00330B5C"/>
    <w:rsid w:val="00330C30"/>
    <w:rsid w:val="00330C71"/>
    <w:rsid w:val="00330DE8"/>
    <w:rsid w:val="00330DEA"/>
    <w:rsid w:val="00330FE9"/>
    <w:rsid w:val="00331023"/>
    <w:rsid w:val="00331470"/>
    <w:rsid w:val="00331968"/>
    <w:rsid w:val="0033198A"/>
    <w:rsid w:val="0033198D"/>
    <w:rsid w:val="00332056"/>
    <w:rsid w:val="003321C3"/>
    <w:rsid w:val="0033223B"/>
    <w:rsid w:val="0033241A"/>
    <w:rsid w:val="003324F7"/>
    <w:rsid w:val="00332962"/>
    <w:rsid w:val="00332B78"/>
    <w:rsid w:val="00332BF7"/>
    <w:rsid w:val="00332D28"/>
    <w:rsid w:val="00333025"/>
    <w:rsid w:val="00333ADB"/>
    <w:rsid w:val="00334364"/>
    <w:rsid w:val="0033451A"/>
    <w:rsid w:val="00334CE7"/>
    <w:rsid w:val="00335250"/>
    <w:rsid w:val="00335413"/>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78A"/>
    <w:rsid w:val="00341995"/>
    <w:rsid w:val="0034204B"/>
    <w:rsid w:val="003422B1"/>
    <w:rsid w:val="0034230E"/>
    <w:rsid w:val="0034246D"/>
    <w:rsid w:val="0034252B"/>
    <w:rsid w:val="0034305B"/>
    <w:rsid w:val="0034324F"/>
    <w:rsid w:val="00343A58"/>
    <w:rsid w:val="00343C24"/>
    <w:rsid w:val="00343EBF"/>
    <w:rsid w:val="00343FA6"/>
    <w:rsid w:val="00344222"/>
    <w:rsid w:val="00344433"/>
    <w:rsid w:val="00344725"/>
    <w:rsid w:val="00344901"/>
    <w:rsid w:val="0034511B"/>
    <w:rsid w:val="00345681"/>
    <w:rsid w:val="00345CDC"/>
    <w:rsid w:val="003467E7"/>
    <w:rsid w:val="003468C9"/>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984"/>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1AB"/>
    <w:rsid w:val="003547FA"/>
    <w:rsid w:val="00354FE6"/>
    <w:rsid w:val="00355088"/>
    <w:rsid w:val="003552B7"/>
    <w:rsid w:val="003552C6"/>
    <w:rsid w:val="003558FD"/>
    <w:rsid w:val="00355A83"/>
    <w:rsid w:val="003562CA"/>
    <w:rsid w:val="003562D7"/>
    <w:rsid w:val="00356353"/>
    <w:rsid w:val="00356694"/>
    <w:rsid w:val="003567C9"/>
    <w:rsid w:val="00356A6F"/>
    <w:rsid w:val="00356B14"/>
    <w:rsid w:val="00356CCA"/>
    <w:rsid w:val="00356CEC"/>
    <w:rsid w:val="00356F72"/>
    <w:rsid w:val="0035705A"/>
    <w:rsid w:val="003570F4"/>
    <w:rsid w:val="003572DE"/>
    <w:rsid w:val="00357659"/>
    <w:rsid w:val="003576E0"/>
    <w:rsid w:val="00357712"/>
    <w:rsid w:val="00357CAE"/>
    <w:rsid w:val="003604DB"/>
    <w:rsid w:val="00360580"/>
    <w:rsid w:val="003607C9"/>
    <w:rsid w:val="00361002"/>
    <w:rsid w:val="00361511"/>
    <w:rsid w:val="003617B5"/>
    <w:rsid w:val="0036185C"/>
    <w:rsid w:val="00361B1A"/>
    <w:rsid w:val="0036227D"/>
    <w:rsid w:val="00362453"/>
    <w:rsid w:val="00362585"/>
    <w:rsid w:val="0036262C"/>
    <w:rsid w:val="003626A7"/>
    <w:rsid w:val="003629D1"/>
    <w:rsid w:val="00362C5A"/>
    <w:rsid w:val="00362CAD"/>
    <w:rsid w:val="003632ED"/>
    <w:rsid w:val="00363539"/>
    <w:rsid w:val="003635B6"/>
    <w:rsid w:val="003637C9"/>
    <w:rsid w:val="00363AE6"/>
    <w:rsid w:val="00363C06"/>
    <w:rsid w:val="00363FC9"/>
    <w:rsid w:val="00364F4B"/>
    <w:rsid w:val="00365023"/>
    <w:rsid w:val="00365644"/>
    <w:rsid w:val="0036572A"/>
    <w:rsid w:val="0036590C"/>
    <w:rsid w:val="00365B66"/>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211"/>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577"/>
    <w:rsid w:val="003816EE"/>
    <w:rsid w:val="00381B19"/>
    <w:rsid w:val="00381E76"/>
    <w:rsid w:val="003821BA"/>
    <w:rsid w:val="003821E7"/>
    <w:rsid w:val="00382324"/>
    <w:rsid w:val="00382903"/>
    <w:rsid w:val="00383034"/>
    <w:rsid w:val="00383142"/>
    <w:rsid w:val="003831E6"/>
    <w:rsid w:val="00383271"/>
    <w:rsid w:val="003833B5"/>
    <w:rsid w:val="00383D4B"/>
    <w:rsid w:val="00383DDB"/>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E47"/>
    <w:rsid w:val="00386E73"/>
    <w:rsid w:val="00386F4B"/>
    <w:rsid w:val="0038702D"/>
    <w:rsid w:val="003870BC"/>
    <w:rsid w:val="0038732E"/>
    <w:rsid w:val="0038738A"/>
    <w:rsid w:val="003875A7"/>
    <w:rsid w:val="00387675"/>
    <w:rsid w:val="00387695"/>
    <w:rsid w:val="00387771"/>
    <w:rsid w:val="0038780F"/>
    <w:rsid w:val="00387866"/>
    <w:rsid w:val="0038799F"/>
    <w:rsid w:val="003879E4"/>
    <w:rsid w:val="00387B2B"/>
    <w:rsid w:val="00390217"/>
    <w:rsid w:val="00390449"/>
    <w:rsid w:val="003904B1"/>
    <w:rsid w:val="0039072F"/>
    <w:rsid w:val="003907D2"/>
    <w:rsid w:val="00390C56"/>
    <w:rsid w:val="0039122C"/>
    <w:rsid w:val="0039124D"/>
    <w:rsid w:val="00391A92"/>
    <w:rsid w:val="00391AC4"/>
    <w:rsid w:val="00391C99"/>
    <w:rsid w:val="00391D30"/>
    <w:rsid w:val="00392080"/>
    <w:rsid w:val="003923AB"/>
    <w:rsid w:val="003926BE"/>
    <w:rsid w:val="003929A7"/>
    <w:rsid w:val="00392A1F"/>
    <w:rsid w:val="00392DB8"/>
    <w:rsid w:val="00392FE1"/>
    <w:rsid w:val="003935EC"/>
    <w:rsid w:val="0039369F"/>
    <w:rsid w:val="00393A04"/>
    <w:rsid w:val="00393A68"/>
    <w:rsid w:val="00393B78"/>
    <w:rsid w:val="00393CED"/>
    <w:rsid w:val="003946B1"/>
    <w:rsid w:val="0039474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75"/>
    <w:rsid w:val="003963E1"/>
    <w:rsid w:val="003965AE"/>
    <w:rsid w:val="0039665F"/>
    <w:rsid w:val="00396806"/>
    <w:rsid w:val="00396969"/>
    <w:rsid w:val="00396A5C"/>
    <w:rsid w:val="00396BBB"/>
    <w:rsid w:val="00396DD5"/>
    <w:rsid w:val="00397032"/>
    <w:rsid w:val="00397292"/>
    <w:rsid w:val="003972F0"/>
    <w:rsid w:val="00397455"/>
    <w:rsid w:val="00397518"/>
    <w:rsid w:val="003976DD"/>
    <w:rsid w:val="00397840"/>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5D0A"/>
    <w:rsid w:val="003A6330"/>
    <w:rsid w:val="003A6558"/>
    <w:rsid w:val="003A6619"/>
    <w:rsid w:val="003A67DB"/>
    <w:rsid w:val="003A6A20"/>
    <w:rsid w:val="003A71E1"/>
    <w:rsid w:val="003A734D"/>
    <w:rsid w:val="003A76A9"/>
    <w:rsid w:val="003A7747"/>
    <w:rsid w:val="003A7796"/>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41"/>
    <w:rsid w:val="003B4D9B"/>
    <w:rsid w:val="003B4E13"/>
    <w:rsid w:val="003B4E9C"/>
    <w:rsid w:val="003B56B9"/>
    <w:rsid w:val="003B570F"/>
    <w:rsid w:val="003B5B57"/>
    <w:rsid w:val="003B5B7E"/>
    <w:rsid w:val="003B5BCB"/>
    <w:rsid w:val="003B5E30"/>
    <w:rsid w:val="003B6870"/>
    <w:rsid w:val="003B6E88"/>
    <w:rsid w:val="003B6FCB"/>
    <w:rsid w:val="003B7020"/>
    <w:rsid w:val="003B7116"/>
    <w:rsid w:val="003B713D"/>
    <w:rsid w:val="003B7257"/>
    <w:rsid w:val="003B7294"/>
    <w:rsid w:val="003B7699"/>
    <w:rsid w:val="003B76F0"/>
    <w:rsid w:val="003B76FE"/>
    <w:rsid w:val="003B79F7"/>
    <w:rsid w:val="003B7DB4"/>
    <w:rsid w:val="003C009A"/>
    <w:rsid w:val="003C01A1"/>
    <w:rsid w:val="003C0374"/>
    <w:rsid w:val="003C07D7"/>
    <w:rsid w:val="003C0985"/>
    <w:rsid w:val="003C0EFF"/>
    <w:rsid w:val="003C10B8"/>
    <w:rsid w:val="003C1E8A"/>
    <w:rsid w:val="003C24AE"/>
    <w:rsid w:val="003C29EC"/>
    <w:rsid w:val="003C2C9D"/>
    <w:rsid w:val="003C3293"/>
    <w:rsid w:val="003C3498"/>
    <w:rsid w:val="003C37B9"/>
    <w:rsid w:val="003C3B73"/>
    <w:rsid w:val="003C3D6E"/>
    <w:rsid w:val="003C3F8B"/>
    <w:rsid w:val="003C409B"/>
    <w:rsid w:val="003C4213"/>
    <w:rsid w:val="003C4250"/>
    <w:rsid w:val="003C4454"/>
    <w:rsid w:val="003C44DB"/>
    <w:rsid w:val="003C4747"/>
    <w:rsid w:val="003C4936"/>
    <w:rsid w:val="003C4CA3"/>
    <w:rsid w:val="003C4F25"/>
    <w:rsid w:val="003C507B"/>
    <w:rsid w:val="003C5268"/>
    <w:rsid w:val="003C615F"/>
    <w:rsid w:val="003C64CD"/>
    <w:rsid w:val="003C64F3"/>
    <w:rsid w:val="003C6544"/>
    <w:rsid w:val="003C6580"/>
    <w:rsid w:val="003C6842"/>
    <w:rsid w:val="003C6A1C"/>
    <w:rsid w:val="003C6A56"/>
    <w:rsid w:val="003C6CCB"/>
    <w:rsid w:val="003C6DA9"/>
    <w:rsid w:val="003C70B9"/>
    <w:rsid w:val="003C736F"/>
    <w:rsid w:val="003C76F3"/>
    <w:rsid w:val="003C7855"/>
    <w:rsid w:val="003D0030"/>
    <w:rsid w:val="003D0240"/>
    <w:rsid w:val="003D0245"/>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7EF"/>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372"/>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139"/>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213"/>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224"/>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1B97"/>
    <w:rsid w:val="004222BF"/>
    <w:rsid w:val="004224D6"/>
    <w:rsid w:val="004225A5"/>
    <w:rsid w:val="004227D3"/>
    <w:rsid w:val="004228AF"/>
    <w:rsid w:val="00422A01"/>
    <w:rsid w:val="00422D57"/>
    <w:rsid w:val="00422D62"/>
    <w:rsid w:val="00422DB5"/>
    <w:rsid w:val="004232D4"/>
    <w:rsid w:val="00423326"/>
    <w:rsid w:val="00424146"/>
    <w:rsid w:val="00424844"/>
    <w:rsid w:val="00424A1B"/>
    <w:rsid w:val="004251F8"/>
    <w:rsid w:val="004253B1"/>
    <w:rsid w:val="004255F7"/>
    <w:rsid w:val="00425BB8"/>
    <w:rsid w:val="00425C97"/>
    <w:rsid w:val="00425DDA"/>
    <w:rsid w:val="00425FDE"/>
    <w:rsid w:val="00425FFD"/>
    <w:rsid w:val="004262F8"/>
    <w:rsid w:val="00426442"/>
    <w:rsid w:val="0042654A"/>
    <w:rsid w:val="00426917"/>
    <w:rsid w:val="00426A93"/>
    <w:rsid w:val="00426CFD"/>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1F9F"/>
    <w:rsid w:val="004320D4"/>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6FC5"/>
    <w:rsid w:val="004371AB"/>
    <w:rsid w:val="00437895"/>
    <w:rsid w:val="00437A82"/>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095"/>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2E9"/>
    <w:rsid w:val="00446424"/>
    <w:rsid w:val="0044662A"/>
    <w:rsid w:val="00446ACE"/>
    <w:rsid w:val="00446D50"/>
    <w:rsid w:val="004471D1"/>
    <w:rsid w:val="004473EE"/>
    <w:rsid w:val="00447427"/>
    <w:rsid w:val="004478C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17"/>
    <w:rsid w:val="004526B9"/>
    <w:rsid w:val="004526E3"/>
    <w:rsid w:val="004527C0"/>
    <w:rsid w:val="00452C21"/>
    <w:rsid w:val="0045313D"/>
    <w:rsid w:val="004535C6"/>
    <w:rsid w:val="00453871"/>
    <w:rsid w:val="00453DEF"/>
    <w:rsid w:val="0045404D"/>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456"/>
    <w:rsid w:val="004605CC"/>
    <w:rsid w:val="0046072D"/>
    <w:rsid w:val="00460921"/>
    <w:rsid w:val="00460958"/>
    <w:rsid w:val="00460B25"/>
    <w:rsid w:val="00460BDC"/>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754"/>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D27"/>
    <w:rsid w:val="00465EB3"/>
    <w:rsid w:val="00465F4A"/>
    <w:rsid w:val="004663D9"/>
    <w:rsid w:val="004665D2"/>
    <w:rsid w:val="00466E49"/>
    <w:rsid w:val="00467B76"/>
    <w:rsid w:val="0047041E"/>
    <w:rsid w:val="00470628"/>
    <w:rsid w:val="00470750"/>
    <w:rsid w:val="00470893"/>
    <w:rsid w:val="0047095D"/>
    <w:rsid w:val="004709B9"/>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27"/>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91"/>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4EA7"/>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3F83"/>
    <w:rsid w:val="004949D8"/>
    <w:rsid w:val="00494B9E"/>
    <w:rsid w:val="00494D0D"/>
    <w:rsid w:val="00494E75"/>
    <w:rsid w:val="00495071"/>
    <w:rsid w:val="004951D6"/>
    <w:rsid w:val="004956BC"/>
    <w:rsid w:val="004961DB"/>
    <w:rsid w:val="00496224"/>
    <w:rsid w:val="00496321"/>
    <w:rsid w:val="0049653E"/>
    <w:rsid w:val="0049658F"/>
    <w:rsid w:val="004966CE"/>
    <w:rsid w:val="004967EB"/>
    <w:rsid w:val="00496BEF"/>
    <w:rsid w:val="00496D67"/>
    <w:rsid w:val="00496E38"/>
    <w:rsid w:val="00496E47"/>
    <w:rsid w:val="0049757C"/>
    <w:rsid w:val="00497A91"/>
    <w:rsid w:val="00497C03"/>
    <w:rsid w:val="00497C95"/>
    <w:rsid w:val="00497D6A"/>
    <w:rsid w:val="00497EF8"/>
    <w:rsid w:val="004A01E1"/>
    <w:rsid w:val="004A0A72"/>
    <w:rsid w:val="004A0D36"/>
    <w:rsid w:val="004A0D9E"/>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8D2"/>
    <w:rsid w:val="004A3AA3"/>
    <w:rsid w:val="004A3AAA"/>
    <w:rsid w:val="004A3CB9"/>
    <w:rsid w:val="004A3CF6"/>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44"/>
    <w:rsid w:val="004B1590"/>
    <w:rsid w:val="004B169E"/>
    <w:rsid w:val="004B1999"/>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43"/>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311"/>
    <w:rsid w:val="004B7418"/>
    <w:rsid w:val="004B795F"/>
    <w:rsid w:val="004B7BA5"/>
    <w:rsid w:val="004B7D63"/>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41E"/>
    <w:rsid w:val="004C2645"/>
    <w:rsid w:val="004C270F"/>
    <w:rsid w:val="004C2770"/>
    <w:rsid w:val="004C29AF"/>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24D"/>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7C6"/>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EF0"/>
    <w:rsid w:val="004E4EF1"/>
    <w:rsid w:val="004E50E0"/>
    <w:rsid w:val="004E523B"/>
    <w:rsid w:val="004E524E"/>
    <w:rsid w:val="004E53AE"/>
    <w:rsid w:val="004E5449"/>
    <w:rsid w:val="004E54D2"/>
    <w:rsid w:val="004E5710"/>
    <w:rsid w:val="004E5788"/>
    <w:rsid w:val="004E5C61"/>
    <w:rsid w:val="004E5DD8"/>
    <w:rsid w:val="004E60FA"/>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D81"/>
    <w:rsid w:val="004F210D"/>
    <w:rsid w:val="004F2826"/>
    <w:rsid w:val="004F2AA6"/>
    <w:rsid w:val="004F2B9C"/>
    <w:rsid w:val="004F2CCE"/>
    <w:rsid w:val="004F31E3"/>
    <w:rsid w:val="004F3205"/>
    <w:rsid w:val="004F359A"/>
    <w:rsid w:val="004F3863"/>
    <w:rsid w:val="004F399D"/>
    <w:rsid w:val="004F3BE2"/>
    <w:rsid w:val="004F3DD1"/>
    <w:rsid w:val="004F4B53"/>
    <w:rsid w:val="004F4B9E"/>
    <w:rsid w:val="004F4E53"/>
    <w:rsid w:val="004F54FB"/>
    <w:rsid w:val="004F55BD"/>
    <w:rsid w:val="004F56BF"/>
    <w:rsid w:val="004F58AB"/>
    <w:rsid w:val="004F599C"/>
    <w:rsid w:val="004F5CDF"/>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95A"/>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DDC"/>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112"/>
    <w:rsid w:val="0050723B"/>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D6"/>
    <w:rsid w:val="00511E67"/>
    <w:rsid w:val="00512404"/>
    <w:rsid w:val="00512747"/>
    <w:rsid w:val="00512816"/>
    <w:rsid w:val="00512A7B"/>
    <w:rsid w:val="00512C94"/>
    <w:rsid w:val="00512D39"/>
    <w:rsid w:val="005134CA"/>
    <w:rsid w:val="005134DD"/>
    <w:rsid w:val="0051370B"/>
    <w:rsid w:val="00513B8C"/>
    <w:rsid w:val="00513C8D"/>
    <w:rsid w:val="00513F8F"/>
    <w:rsid w:val="005140B5"/>
    <w:rsid w:val="0051426D"/>
    <w:rsid w:val="005147E7"/>
    <w:rsid w:val="005149A2"/>
    <w:rsid w:val="00514B51"/>
    <w:rsid w:val="00514CEE"/>
    <w:rsid w:val="00514E56"/>
    <w:rsid w:val="0051506B"/>
    <w:rsid w:val="00515072"/>
    <w:rsid w:val="005150E4"/>
    <w:rsid w:val="00515507"/>
    <w:rsid w:val="00515708"/>
    <w:rsid w:val="00515746"/>
    <w:rsid w:val="00515907"/>
    <w:rsid w:val="00515C9F"/>
    <w:rsid w:val="00515E2B"/>
    <w:rsid w:val="00516009"/>
    <w:rsid w:val="00516A89"/>
    <w:rsid w:val="00516B96"/>
    <w:rsid w:val="00516E9E"/>
    <w:rsid w:val="005173A4"/>
    <w:rsid w:val="005176D7"/>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617"/>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5"/>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EB1"/>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0D4"/>
    <w:rsid w:val="0055410A"/>
    <w:rsid w:val="005543ED"/>
    <w:rsid w:val="00554512"/>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92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9A6"/>
    <w:rsid w:val="00561A95"/>
    <w:rsid w:val="00561BF6"/>
    <w:rsid w:val="00562273"/>
    <w:rsid w:val="0056237F"/>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BD"/>
    <w:rsid w:val="00577EB4"/>
    <w:rsid w:val="00577F34"/>
    <w:rsid w:val="00580293"/>
    <w:rsid w:val="00580CFE"/>
    <w:rsid w:val="00581081"/>
    <w:rsid w:val="00581085"/>
    <w:rsid w:val="005810D9"/>
    <w:rsid w:val="005815D2"/>
    <w:rsid w:val="005818D4"/>
    <w:rsid w:val="005819D7"/>
    <w:rsid w:val="00581AB8"/>
    <w:rsid w:val="00581B2E"/>
    <w:rsid w:val="00581C6E"/>
    <w:rsid w:val="00581F40"/>
    <w:rsid w:val="0058299F"/>
    <w:rsid w:val="005829CC"/>
    <w:rsid w:val="00582E3D"/>
    <w:rsid w:val="00583147"/>
    <w:rsid w:val="005836D0"/>
    <w:rsid w:val="00583963"/>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45E"/>
    <w:rsid w:val="00593BE6"/>
    <w:rsid w:val="00593F7D"/>
    <w:rsid w:val="00594131"/>
    <w:rsid w:val="00594397"/>
    <w:rsid w:val="005943C6"/>
    <w:rsid w:val="005946E2"/>
    <w:rsid w:val="0059486C"/>
    <w:rsid w:val="00594C67"/>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CB"/>
    <w:rsid w:val="00597DF6"/>
    <w:rsid w:val="00597F28"/>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585"/>
    <w:rsid w:val="005A36E3"/>
    <w:rsid w:val="005A37C1"/>
    <w:rsid w:val="005A3A31"/>
    <w:rsid w:val="005A416C"/>
    <w:rsid w:val="005A447C"/>
    <w:rsid w:val="005A46BD"/>
    <w:rsid w:val="005A48E1"/>
    <w:rsid w:val="005A4999"/>
    <w:rsid w:val="005A4AB5"/>
    <w:rsid w:val="005A4C41"/>
    <w:rsid w:val="005A50BB"/>
    <w:rsid w:val="005A53BF"/>
    <w:rsid w:val="005A556E"/>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3FCC"/>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1F00"/>
    <w:rsid w:val="005C2144"/>
    <w:rsid w:val="005C247C"/>
    <w:rsid w:val="005C2D32"/>
    <w:rsid w:val="005C3558"/>
    <w:rsid w:val="005C376D"/>
    <w:rsid w:val="005C4000"/>
    <w:rsid w:val="005C46C6"/>
    <w:rsid w:val="005C48FC"/>
    <w:rsid w:val="005C4ADF"/>
    <w:rsid w:val="005C4B4D"/>
    <w:rsid w:val="005C4DE3"/>
    <w:rsid w:val="005C5024"/>
    <w:rsid w:val="005C5372"/>
    <w:rsid w:val="005C5379"/>
    <w:rsid w:val="005C5425"/>
    <w:rsid w:val="005C5849"/>
    <w:rsid w:val="005C5A28"/>
    <w:rsid w:val="005C6126"/>
    <w:rsid w:val="005C6222"/>
    <w:rsid w:val="005C628E"/>
    <w:rsid w:val="005C6B26"/>
    <w:rsid w:val="005C6E8C"/>
    <w:rsid w:val="005C7308"/>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ABA"/>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CC4"/>
    <w:rsid w:val="005D5E46"/>
    <w:rsid w:val="005D609E"/>
    <w:rsid w:val="005D6366"/>
    <w:rsid w:val="005D6496"/>
    <w:rsid w:val="005D64A5"/>
    <w:rsid w:val="005D6754"/>
    <w:rsid w:val="005D67FB"/>
    <w:rsid w:val="005D6905"/>
    <w:rsid w:val="005D6929"/>
    <w:rsid w:val="005D6B30"/>
    <w:rsid w:val="005D6D22"/>
    <w:rsid w:val="005D6E1C"/>
    <w:rsid w:val="005D7539"/>
    <w:rsid w:val="005D7705"/>
    <w:rsid w:val="005D7DFC"/>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3C"/>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465"/>
    <w:rsid w:val="005E66F1"/>
    <w:rsid w:val="005E67AA"/>
    <w:rsid w:val="005E6AFB"/>
    <w:rsid w:val="005E6B12"/>
    <w:rsid w:val="005E6DE0"/>
    <w:rsid w:val="005E73E2"/>
    <w:rsid w:val="005E7616"/>
    <w:rsid w:val="005E7698"/>
    <w:rsid w:val="005E770B"/>
    <w:rsid w:val="005E7849"/>
    <w:rsid w:val="005E7A17"/>
    <w:rsid w:val="005E7A8C"/>
    <w:rsid w:val="005E7FAA"/>
    <w:rsid w:val="005F044B"/>
    <w:rsid w:val="005F06FA"/>
    <w:rsid w:val="005F06F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E6"/>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9D3"/>
    <w:rsid w:val="005F7CC1"/>
    <w:rsid w:val="006004DE"/>
    <w:rsid w:val="006007D6"/>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F0"/>
    <w:rsid w:val="00610405"/>
    <w:rsid w:val="00610917"/>
    <w:rsid w:val="00610C42"/>
    <w:rsid w:val="00610E80"/>
    <w:rsid w:val="006113A9"/>
    <w:rsid w:val="00611C82"/>
    <w:rsid w:val="006125DB"/>
    <w:rsid w:val="00612849"/>
    <w:rsid w:val="00612C73"/>
    <w:rsid w:val="00612E96"/>
    <w:rsid w:val="00612F73"/>
    <w:rsid w:val="0061312F"/>
    <w:rsid w:val="0061338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B9"/>
    <w:rsid w:val="006162D2"/>
    <w:rsid w:val="006167CB"/>
    <w:rsid w:val="00616885"/>
    <w:rsid w:val="00616C82"/>
    <w:rsid w:val="00616F90"/>
    <w:rsid w:val="00617042"/>
    <w:rsid w:val="0061717B"/>
    <w:rsid w:val="0061717F"/>
    <w:rsid w:val="0061727A"/>
    <w:rsid w:val="006173A4"/>
    <w:rsid w:val="00617574"/>
    <w:rsid w:val="006175CF"/>
    <w:rsid w:val="00617962"/>
    <w:rsid w:val="00617B93"/>
    <w:rsid w:val="00617C95"/>
    <w:rsid w:val="00620020"/>
    <w:rsid w:val="00620049"/>
    <w:rsid w:val="006201A2"/>
    <w:rsid w:val="006201CD"/>
    <w:rsid w:val="006201F5"/>
    <w:rsid w:val="00620254"/>
    <w:rsid w:val="006204F8"/>
    <w:rsid w:val="006205DD"/>
    <w:rsid w:val="006205EA"/>
    <w:rsid w:val="00620686"/>
    <w:rsid w:val="00620721"/>
    <w:rsid w:val="006207C4"/>
    <w:rsid w:val="0062099A"/>
    <w:rsid w:val="006209E8"/>
    <w:rsid w:val="00620B55"/>
    <w:rsid w:val="0062117A"/>
    <w:rsid w:val="0062139A"/>
    <w:rsid w:val="00621B6A"/>
    <w:rsid w:val="00621C0B"/>
    <w:rsid w:val="00621C49"/>
    <w:rsid w:val="00621C72"/>
    <w:rsid w:val="00621CAD"/>
    <w:rsid w:val="00622233"/>
    <w:rsid w:val="006226C3"/>
    <w:rsid w:val="0062277B"/>
    <w:rsid w:val="00622AAD"/>
    <w:rsid w:val="00622BFC"/>
    <w:rsid w:val="00623040"/>
    <w:rsid w:val="00623427"/>
    <w:rsid w:val="00623AEB"/>
    <w:rsid w:val="00623B23"/>
    <w:rsid w:val="00623D8D"/>
    <w:rsid w:val="00623E4E"/>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966"/>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275"/>
    <w:rsid w:val="006353D0"/>
    <w:rsid w:val="0063547A"/>
    <w:rsid w:val="006355ED"/>
    <w:rsid w:val="00635835"/>
    <w:rsid w:val="00635B54"/>
    <w:rsid w:val="00635C7B"/>
    <w:rsid w:val="00635C9E"/>
    <w:rsid w:val="00635EDC"/>
    <w:rsid w:val="00635F56"/>
    <w:rsid w:val="00636094"/>
    <w:rsid w:val="0063633A"/>
    <w:rsid w:val="0063650D"/>
    <w:rsid w:val="00636519"/>
    <w:rsid w:val="006366F2"/>
    <w:rsid w:val="00636876"/>
    <w:rsid w:val="00636A76"/>
    <w:rsid w:val="00636B32"/>
    <w:rsid w:val="00636B44"/>
    <w:rsid w:val="006371E4"/>
    <w:rsid w:val="0063720A"/>
    <w:rsid w:val="006373C7"/>
    <w:rsid w:val="0063752B"/>
    <w:rsid w:val="00637815"/>
    <w:rsid w:val="00637952"/>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737"/>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5DE0"/>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506"/>
    <w:rsid w:val="00661636"/>
    <w:rsid w:val="00661CC2"/>
    <w:rsid w:val="00662166"/>
    <w:rsid w:val="006622C3"/>
    <w:rsid w:val="006626E1"/>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ECB"/>
    <w:rsid w:val="00675F5B"/>
    <w:rsid w:val="00675FBF"/>
    <w:rsid w:val="006760EB"/>
    <w:rsid w:val="0067649C"/>
    <w:rsid w:val="006766CA"/>
    <w:rsid w:val="006767B8"/>
    <w:rsid w:val="00676D13"/>
    <w:rsid w:val="00676DE9"/>
    <w:rsid w:val="00676FAE"/>
    <w:rsid w:val="00676FD7"/>
    <w:rsid w:val="00677270"/>
    <w:rsid w:val="00677725"/>
    <w:rsid w:val="00677F40"/>
    <w:rsid w:val="0068013A"/>
    <w:rsid w:val="006801CE"/>
    <w:rsid w:val="006803EE"/>
    <w:rsid w:val="00680672"/>
    <w:rsid w:val="00680944"/>
    <w:rsid w:val="00680A97"/>
    <w:rsid w:val="00680D3B"/>
    <w:rsid w:val="00680E53"/>
    <w:rsid w:val="00680F30"/>
    <w:rsid w:val="00680F81"/>
    <w:rsid w:val="0068102D"/>
    <w:rsid w:val="006813B0"/>
    <w:rsid w:val="006820C0"/>
    <w:rsid w:val="0068226B"/>
    <w:rsid w:val="006824E5"/>
    <w:rsid w:val="00682833"/>
    <w:rsid w:val="00682881"/>
    <w:rsid w:val="00682E33"/>
    <w:rsid w:val="00682E47"/>
    <w:rsid w:val="00682ED3"/>
    <w:rsid w:val="00683052"/>
    <w:rsid w:val="00683496"/>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8A2"/>
    <w:rsid w:val="00690A41"/>
    <w:rsid w:val="00690D12"/>
    <w:rsid w:val="00690F0E"/>
    <w:rsid w:val="0069164E"/>
    <w:rsid w:val="006919C5"/>
    <w:rsid w:val="006919D3"/>
    <w:rsid w:val="0069240E"/>
    <w:rsid w:val="00692799"/>
    <w:rsid w:val="006927C1"/>
    <w:rsid w:val="006927F0"/>
    <w:rsid w:val="00692914"/>
    <w:rsid w:val="00692A0D"/>
    <w:rsid w:val="00692A5F"/>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028"/>
    <w:rsid w:val="0069755C"/>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7B9"/>
    <w:rsid w:val="006A48A8"/>
    <w:rsid w:val="006A49B5"/>
    <w:rsid w:val="006A4FF3"/>
    <w:rsid w:val="006A5A45"/>
    <w:rsid w:val="006A5CA3"/>
    <w:rsid w:val="006A5D5C"/>
    <w:rsid w:val="006A5E26"/>
    <w:rsid w:val="006A6100"/>
    <w:rsid w:val="006A615C"/>
    <w:rsid w:val="006A6241"/>
    <w:rsid w:val="006A64D8"/>
    <w:rsid w:val="006A69A3"/>
    <w:rsid w:val="006A6B3F"/>
    <w:rsid w:val="006A6B69"/>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5AD8"/>
    <w:rsid w:val="006B5C3C"/>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6B1"/>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0D3F"/>
    <w:rsid w:val="006D0E0A"/>
    <w:rsid w:val="006D134E"/>
    <w:rsid w:val="006D1A23"/>
    <w:rsid w:val="006D1DFA"/>
    <w:rsid w:val="006D1F1A"/>
    <w:rsid w:val="006D2039"/>
    <w:rsid w:val="006D21FF"/>
    <w:rsid w:val="006D2349"/>
    <w:rsid w:val="006D24FD"/>
    <w:rsid w:val="006D2AE4"/>
    <w:rsid w:val="006D31AF"/>
    <w:rsid w:val="006D31DD"/>
    <w:rsid w:val="006D34D6"/>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6E18"/>
    <w:rsid w:val="006D72E1"/>
    <w:rsid w:val="006D74C9"/>
    <w:rsid w:val="006D74F5"/>
    <w:rsid w:val="006D7598"/>
    <w:rsid w:val="006D77D8"/>
    <w:rsid w:val="006D7A68"/>
    <w:rsid w:val="006D7B93"/>
    <w:rsid w:val="006D7BBD"/>
    <w:rsid w:val="006D7C30"/>
    <w:rsid w:val="006D7D22"/>
    <w:rsid w:val="006D7D69"/>
    <w:rsid w:val="006D7DAD"/>
    <w:rsid w:val="006D7EC6"/>
    <w:rsid w:val="006E002F"/>
    <w:rsid w:val="006E018D"/>
    <w:rsid w:val="006E0566"/>
    <w:rsid w:val="006E08BE"/>
    <w:rsid w:val="006E0B16"/>
    <w:rsid w:val="006E1094"/>
    <w:rsid w:val="006E1135"/>
    <w:rsid w:val="006E13AB"/>
    <w:rsid w:val="006E1469"/>
    <w:rsid w:val="006E1707"/>
    <w:rsid w:val="006E176F"/>
    <w:rsid w:val="006E1B67"/>
    <w:rsid w:val="006E1C34"/>
    <w:rsid w:val="006E1DEC"/>
    <w:rsid w:val="006E1E45"/>
    <w:rsid w:val="006E22CC"/>
    <w:rsid w:val="006E2606"/>
    <w:rsid w:val="006E295F"/>
    <w:rsid w:val="006E2D87"/>
    <w:rsid w:val="006E2E72"/>
    <w:rsid w:val="006E32D1"/>
    <w:rsid w:val="006E3D3A"/>
    <w:rsid w:val="006E3E37"/>
    <w:rsid w:val="006E44D1"/>
    <w:rsid w:val="006E45CD"/>
    <w:rsid w:val="006E4646"/>
    <w:rsid w:val="006E4674"/>
    <w:rsid w:val="006E4F96"/>
    <w:rsid w:val="006E512D"/>
    <w:rsid w:val="006E5477"/>
    <w:rsid w:val="006E554E"/>
    <w:rsid w:val="006E55F0"/>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0FD5"/>
    <w:rsid w:val="006F1894"/>
    <w:rsid w:val="006F1CAE"/>
    <w:rsid w:val="006F1D86"/>
    <w:rsid w:val="006F1E30"/>
    <w:rsid w:val="006F1F34"/>
    <w:rsid w:val="006F20A6"/>
    <w:rsid w:val="006F2773"/>
    <w:rsid w:val="006F291E"/>
    <w:rsid w:val="006F297F"/>
    <w:rsid w:val="006F2CE0"/>
    <w:rsid w:val="006F2D23"/>
    <w:rsid w:val="006F3052"/>
    <w:rsid w:val="006F30EB"/>
    <w:rsid w:val="006F314D"/>
    <w:rsid w:val="006F3992"/>
    <w:rsid w:val="006F3B01"/>
    <w:rsid w:val="006F3C66"/>
    <w:rsid w:val="006F4189"/>
    <w:rsid w:val="006F42DD"/>
    <w:rsid w:val="006F43AB"/>
    <w:rsid w:val="006F43D4"/>
    <w:rsid w:val="006F466E"/>
    <w:rsid w:val="006F468E"/>
    <w:rsid w:val="006F4A6F"/>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3249"/>
    <w:rsid w:val="007032E6"/>
    <w:rsid w:val="007036E5"/>
    <w:rsid w:val="00703737"/>
    <w:rsid w:val="00703A41"/>
    <w:rsid w:val="00703D8A"/>
    <w:rsid w:val="00703ECE"/>
    <w:rsid w:val="00703FA6"/>
    <w:rsid w:val="00704123"/>
    <w:rsid w:val="007041AC"/>
    <w:rsid w:val="00704641"/>
    <w:rsid w:val="0070469D"/>
    <w:rsid w:val="007047A7"/>
    <w:rsid w:val="007050A6"/>
    <w:rsid w:val="007053CF"/>
    <w:rsid w:val="007053D7"/>
    <w:rsid w:val="007054F2"/>
    <w:rsid w:val="007056ED"/>
    <w:rsid w:val="00705834"/>
    <w:rsid w:val="00705914"/>
    <w:rsid w:val="00705D28"/>
    <w:rsid w:val="007068CF"/>
    <w:rsid w:val="00706AC2"/>
    <w:rsid w:val="00706CC7"/>
    <w:rsid w:val="0070743B"/>
    <w:rsid w:val="00707858"/>
    <w:rsid w:val="007078E5"/>
    <w:rsid w:val="00707CC2"/>
    <w:rsid w:val="00707CED"/>
    <w:rsid w:val="00707D14"/>
    <w:rsid w:val="007100AB"/>
    <w:rsid w:val="00710107"/>
    <w:rsid w:val="007101EE"/>
    <w:rsid w:val="0071024C"/>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77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85D"/>
    <w:rsid w:val="00717890"/>
    <w:rsid w:val="007178EE"/>
    <w:rsid w:val="007202C0"/>
    <w:rsid w:val="007205C5"/>
    <w:rsid w:val="007205D9"/>
    <w:rsid w:val="007205E5"/>
    <w:rsid w:val="00720668"/>
    <w:rsid w:val="00720759"/>
    <w:rsid w:val="00720B2F"/>
    <w:rsid w:val="00720C29"/>
    <w:rsid w:val="00720EFE"/>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2E"/>
    <w:rsid w:val="00723CEB"/>
    <w:rsid w:val="00724426"/>
    <w:rsid w:val="00724437"/>
    <w:rsid w:val="007244BA"/>
    <w:rsid w:val="007244E6"/>
    <w:rsid w:val="0072461A"/>
    <w:rsid w:val="00724AE0"/>
    <w:rsid w:val="00724F65"/>
    <w:rsid w:val="00725068"/>
    <w:rsid w:val="0072511B"/>
    <w:rsid w:val="00725300"/>
    <w:rsid w:val="0072540F"/>
    <w:rsid w:val="007255B4"/>
    <w:rsid w:val="0072560E"/>
    <w:rsid w:val="00725CB6"/>
    <w:rsid w:val="00725CDC"/>
    <w:rsid w:val="00726281"/>
    <w:rsid w:val="0072650B"/>
    <w:rsid w:val="00726537"/>
    <w:rsid w:val="0072665F"/>
    <w:rsid w:val="007269FB"/>
    <w:rsid w:val="00726B81"/>
    <w:rsid w:val="00726F43"/>
    <w:rsid w:val="00726F57"/>
    <w:rsid w:val="0072700A"/>
    <w:rsid w:val="007270A0"/>
    <w:rsid w:val="007273EC"/>
    <w:rsid w:val="00727407"/>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8B6"/>
    <w:rsid w:val="00732D0F"/>
    <w:rsid w:val="00732E6D"/>
    <w:rsid w:val="0073336D"/>
    <w:rsid w:val="00733858"/>
    <w:rsid w:val="00733A80"/>
    <w:rsid w:val="00733BC0"/>
    <w:rsid w:val="00733D81"/>
    <w:rsid w:val="0073497A"/>
    <w:rsid w:val="00734B69"/>
    <w:rsid w:val="0073503F"/>
    <w:rsid w:val="0073532A"/>
    <w:rsid w:val="00735995"/>
    <w:rsid w:val="00736121"/>
    <w:rsid w:val="0073637C"/>
    <w:rsid w:val="007367AA"/>
    <w:rsid w:val="007367E7"/>
    <w:rsid w:val="00736886"/>
    <w:rsid w:val="007368C8"/>
    <w:rsid w:val="007369B8"/>
    <w:rsid w:val="00736A7F"/>
    <w:rsid w:val="00736D7B"/>
    <w:rsid w:val="007377ED"/>
    <w:rsid w:val="007379C8"/>
    <w:rsid w:val="0074056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3DE7"/>
    <w:rsid w:val="00744055"/>
    <w:rsid w:val="00744207"/>
    <w:rsid w:val="007444C8"/>
    <w:rsid w:val="0074475B"/>
    <w:rsid w:val="00744E4F"/>
    <w:rsid w:val="0074544C"/>
    <w:rsid w:val="0074576E"/>
    <w:rsid w:val="007457BF"/>
    <w:rsid w:val="007458E7"/>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574"/>
    <w:rsid w:val="00751BD7"/>
    <w:rsid w:val="00751F76"/>
    <w:rsid w:val="0075238E"/>
    <w:rsid w:val="00752497"/>
    <w:rsid w:val="007524E2"/>
    <w:rsid w:val="0075271A"/>
    <w:rsid w:val="00752A91"/>
    <w:rsid w:val="00752D2B"/>
    <w:rsid w:val="00752FE7"/>
    <w:rsid w:val="0075309D"/>
    <w:rsid w:val="007531F5"/>
    <w:rsid w:val="0075327B"/>
    <w:rsid w:val="00753957"/>
    <w:rsid w:val="00753B38"/>
    <w:rsid w:val="00753F01"/>
    <w:rsid w:val="0075412E"/>
    <w:rsid w:val="00754747"/>
    <w:rsid w:val="00754A04"/>
    <w:rsid w:val="00754C6D"/>
    <w:rsid w:val="00754D51"/>
    <w:rsid w:val="00754D64"/>
    <w:rsid w:val="00754FCC"/>
    <w:rsid w:val="00755420"/>
    <w:rsid w:val="00755559"/>
    <w:rsid w:val="0075574E"/>
    <w:rsid w:val="00755B06"/>
    <w:rsid w:val="00755D41"/>
    <w:rsid w:val="00755E06"/>
    <w:rsid w:val="00755F8B"/>
    <w:rsid w:val="0075620B"/>
    <w:rsid w:val="007565E2"/>
    <w:rsid w:val="00756A08"/>
    <w:rsid w:val="00756C30"/>
    <w:rsid w:val="00756E92"/>
    <w:rsid w:val="00756F03"/>
    <w:rsid w:val="00756F15"/>
    <w:rsid w:val="00756F24"/>
    <w:rsid w:val="007572E9"/>
    <w:rsid w:val="0075777E"/>
    <w:rsid w:val="0075789B"/>
    <w:rsid w:val="0075795A"/>
    <w:rsid w:val="00757A61"/>
    <w:rsid w:val="00757C6C"/>
    <w:rsid w:val="00757C99"/>
    <w:rsid w:val="00757CD9"/>
    <w:rsid w:val="00757E8E"/>
    <w:rsid w:val="00757FE8"/>
    <w:rsid w:val="00760016"/>
    <w:rsid w:val="007600CF"/>
    <w:rsid w:val="0076015A"/>
    <w:rsid w:val="0076031F"/>
    <w:rsid w:val="0076060C"/>
    <w:rsid w:val="00760756"/>
    <w:rsid w:val="00760819"/>
    <w:rsid w:val="00760835"/>
    <w:rsid w:val="0076087C"/>
    <w:rsid w:val="007608DF"/>
    <w:rsid w:val="00760901"/>
    <w:rsid w:val="00760D79"/>
    <w:rsid w:val="00760F17"/>
    <w:rsid w:val="0076116A"/>
    <w:rsid w:val="007613AF"/>
    <w:rsid w:val="00761618"/>
    <w:rsid w:val="007616F6"/>
    <w:rsid w:val="007619FB"/>
    <w:rsid w:val="00761A37"/>
    <w:rsid w:val="00761D24"/>
    <w:rsid w:val="00761DC4"/>
    <w:rsid w:val="00761E2B"/>
    <w:rsid w:val="0076200C"/>
    <w:rsid w:val="00762864"/>
    <w:rsid w:val="00762924"/>
    <w:rsid w:val="0076295C"/>
    <w:rsid w:val="007629D6"/>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43"/>
    <w:rsid w:val="00765098"/>
    <w:rsid w:val="007650A8"/>
    <w:rsid w:val="00765124"/>
    <w:rsid w:val="0076539C"/>
    <w:rsid w:val="00765416"/>
    <w:rsid w:val="00765832"/>
    <w:rsid w:val="00765B20"/>
    <w:rsid w:val="00765FDC"/>
    <w:rsid w:val="007663A3"/>
    <w:rsid w:val="00766559"/>
    <w:rsid w:val="007665F1"/>
    <w:rsid w:val="007667E0"/>
    <w:rsid w:val="007669EF"/>
    <w:rsid w:val="00766A9E"/>
    <w:rsid w:val="00766B0E"/>
    <w:rsid w:val="00766B6F"/>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B5"/>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A"/>
    <w:rsid w:val="00781BC7"/>
    <w:rsid w:val="00781DAD"/>
    <w:rsid w:val="00781FD8"/>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394"/>
    <w:rsid w:val="007873DD"/>
    <w:rsid w:val="007875E7"/>
    <w:rsid w:val="007875F8"/>
    <w:rsid w:val="00787736"/>
    <w:rsid w:val="00787970"/>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2C2"/>
    <w:rsid w:val="0079253B"/>
    <w:rsid w:val="00792675"/>
    <w:rsid w:val="007926B7"/>
    <w:rsid w:val="00792755"/>
    <w:rsid w:val="00792AD3"/>
    <w:rsid w:val="00792C7B"/>
    <w:rsid w:val="00792ECC"/>
    <w:rsid w:val="00793774"/>
    <w:rsid w:val="007939C7"/>
    <w:rsid w:val="00793BAE"/>
    <w:rsid w:val="00793F70"/>
    <w:rsid w:val="00794269"/>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69F"/>
    <w:rsid w:val="007977E1"/>
    <w:rsid w:val="00797DAA"/>
    <w:rsid w:val="00797EF1"/>
    <w:rsid w:val="00797F31"/>
    <w:rsid w:val="00797FCF"/>
    <w:rsid w:val="007A05F5"/>
    <w:rsid w:val="007A0616"/>
    <w:rsid w:val="007A0BDA"/>
    <w:rsid w:val="007A0CDD"/>
    <w:rsid w:val="007A0D0D"/>
    <w:rsid w:val="007A0D65"/>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AF1"/>
    <w:rsid w:val="007A4B32"/>
    <w:rsid w:val="007A5181"/>
    <w:rsid w:val="007A5288"/>
    <w:rsid w:val="007A52CE"/>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80E"/>
    <w:rsid w:val="007A7AD5"/>
    <w:rsid w:val="007A7CF7"/>
    <w:rsid w:val="007A7F35"/>
    <w:rsid w:val="007B0253"/>
    <w:rsid w:val="007B04B6"/>
    <w:rsid w:val="007B0600"/>
    <w:rsid w:val="007B061A"/>
    <w:rsid w:val="007B073B"/>
    <w:rsid w:val="007B0804"/>
    <w:rsid w:val="007B0CB0"/>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AC8"/>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2AE"/>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4"/>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5F7E"/>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BA2"/>
    <w:rsid w:val="007D2C9F"/>
    <w:rsid w:val="007D2EB4"/>
    <w:rsid w:val="007D2F33"/>
    <w:rsid w:val="007D31A6"/>
    <w:rsid w:val="007D320B"/>
    <w:rsid w:val="007D357E"/>
    <w:rsid w:val="007D36AF"/>
    <w:rsid w:val="007D3771"/>
    <w:rsid w:val="007D37BF"/>
    <w:rsid w:val="007D3889"/>
    <w:rsid w:val="007D39D7"/>
    <w:rsid w:val="007D3BE0"/>
    <w:rsid w:val="007D3DEA"/>
    <w:rsid w:val="007D4046"/>
    <w:rsid w:val="007D4526"/>
    <w:rsid w:val="007D4632"/>
    <w:rsid w:val="007D478D"/>
    <w:rsid w:val="007D4838"/>
    <w:rsid w:val="007D4956"/>
    <w:rsid w:val="007D4F1C"/>
    <w:rsid w:val="007D4FF2"/>
    <w:rsid w:val="007D512C"/>
    <w:rsid w:val="007D5166"/>
    <w:rsid w:val="007D526F"/>
    <w:rsid w:val="007D5777"/>
    <w:rsid w:val="007D5C9D"/>
    <w:rsid w:val="007D5CFA"/>
    <w:rsid w:val="007D5F54"/>
    <w:rsid w:val="007D6310"/>
    <w:rsid w:val="007D673F"/>
    <w:rsid w:val="007D68F4"/>
    <w:rsid w:val="007D6CE5"/>
    <w:rsid w:val="007D6E8A"/>
    <w:rsid w:val="007D6EF0"/>
    <w:rsid w:val="007D7042"/>
    <w:rsid w:val="007D7059"/>
    <w:rsid w:val="007D7749"/>
    <w:rsid w:val="007D7992"/>
    <w:rsid w:val="007D7A23"/>
    <w:rsid w:val="007D7D96"/>
    <w:rsid w:val="007E0162"/>
    <w:rsid w:val="007E05CC"/>
    <w:rsid w:val="007E0800"/>
    <w:rsid w:val="007E083F"/>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4C2"/>
    <w:rsid w:val="007E36F8"/>
    <w:rsid w:val="007E3A98"/>
    <w:rsid w:val="007E4319"/>
    <w:rsid w:val="007E47AD"/>
    <w:rsid w:val="007E488F"/>
    <w:rsid w:val="007E48CD"/>
    <w:rsid w:val="007E48E4"/>
    <w:rsid w:val="007E4BDE"/>
    <w:rsid w:val="007E4D04"/>
    <w:rsid w:val="007E531F"/>
    <w:rsid w:val="007E57B3"/>
    <w:rsid w:val="007E5949"/>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4B77"/>
    <w:rsid w:val="007F5605"/>
    <w:rsid w:val="007F5608"/>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E83"/>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528"/>
    <w:rsid w:val="00805832"/>
    <w:rsid w:val="00805A6D"/>
    <w:rsid w:val="00805D11"/>
    <w:rsid w:val="00806016"/>
    <w:rsid w:val="0080656E"/>
    <w:rsid w:val="00806627"/>
    <w:rsid w:val="00806673"/>
    <w:rsid w:val="00806979"/>
    <w:rsid w:val="0080699F"/>
    <w:rsid w:val="00806D29"/>
    <w:rsid w:val="00806F5E"/>
    <w:rsid w:val="008072E3"/>
    <w:rsid w:val="00807365"/>
    <w:rsid w:val="0080770D"/>
    <w:rsid w:val="00807A31"/>
    <w:rsid w:val="00807D28"/>
    <w:rsid w:val="00807D5E"/>
    <w:rsid w:val="00807D8F"/>
    <w:rsid w:val="00807E0C"/>
    <w:rsid w:val="00807E1B"/>
    <w:rsid w:val="008100D3"/>
    <w:rsid w:val="0081012C"/>
    <w:rsid w:val="00810DE9"/>
    <w:rsid w:val="00810EAE"/>
    <w:rsid w:val="00811036"/>
    <w:rsid w:val="0081160E"/>
    <w:rsid w:val="0081189F"/>
    <w:rsid w:val="0081196C"/>
    <w:rsid w:val="00811C6A"/>
    <w:rsid w:val="00811E15"/>
    <w:rsid w:val="00812027"/>
    <w:rsid w:val="0081218F"/>
    <w:rsid w:val="008123C3"/>
    <w:rsid w:val="008123D5"/>
    <w:rsid w:val="008124FE"/>
    <w:rsid w:val="008127B0"/>
    <w:rsid w:val="008128E8"/>
    <w:rsid w:val="00812FE3"/>
    <w:rsid w:val="00813164"/>
    <w:rsid w:val="00813346"/>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AEB"/>
    <w:rsid w:val="00821DC0"/>
    <w:rsid w:val="00822131"/>
    <w:rsid w:val="00822722"/>
    <w:rsid w:val="00823335"/>
    <w:rsid w:val="0082348F"/>
    <w:rsid w:val="008234FC"/>
    <w:rsid w:val="008235E4"/>
    <w:rsid w:val="008237B2"/>
    <w:rsid w:val="00823B2A"/>
    <w:rsid w:val="00823C2A"/>
    <w:rsid w:val="00823F61"/>
    <w:rsid w:val="008240C3"/>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451"/>
    <w:rsid w:val="0082663F"/>
    <w:rsid w:val="008266DE"/>
    <w:rsid w:val="00826D90"/>
    <w:rsid w:val="00827015"/>
    <w:rsid w:val="00827109"/>
    <w:rsid w:val="008272E9"/>
    <w:rsid w:val="008278A7"/>
    <w:rsid w:val="00827A41"/>
    <w:rsid w:val="00827AE9"/>
    <w:rsid w:val="00827AF3"/>
    <w:rsid w:val="00827B9F"/>
    <w:rsid w:val="00830138"/>
    <w:rsid w:val="008303C9"/>
    <w:rsid w:val="00830448"/>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376"/>
    <w:rsid w:val="00834449"/>
    <w:rsid w:val="00834512"/>
    <w:rsid w:val="008348B1"/>
    <w:rsid w:val="008349E7"/>
    <w:rsid w:val="00834F1F"/>
    <w:rsid w:val="0083502E"/>
    <w:rsid w:val="008350E9"/>
    <w:rsid w:val="008353F8"/>
    <w:rsid w:val="0083545D"/>
    <w:rsid w:val="0083579B"/>
    <w:rsid w:val="008358C4"/>
    <w:rsid w:val="00835B82"/>
    <w:rsid w:val="00836133"/>
    <w:rsid w:val="0083657B"/>
    <w:rsid w:val="008365D8"/>
    <w:rsid w:val="008367EC"/>
    <w:rsid w:val="008368F3"/>
    <w:rsid w:val="00836B5B"/>
    <w:rsid w:val="00837174"/>
    <w:rsid w:val="0083767E"/>
    <w:rsid w:val="0083768C"/>
    <w:rsid w:val="008376F9"/>
    <w:rsid w:val="00837DCD"/>
    <w:rsid w:val="00837E87"/>
    <w:rsid w:val="008401C3"/>
    <w:rsid w:val="00840436"/>
    <w:rsid w:val="008404D7"/>
    <w:rsid w:val="00840634"/>
    <w:rsid w:val="00840955"/>
    <w:rsid w:val="00840A68"/>
    <w:rsid w:val="00840A83"/>
    <w:rsid w:val="00840D37"/>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50"/>
    <w:rsid w:val="00844770"/>
    <w:rsid w:val="00844808"/>
    <w:rsid w:val="00844864"/>
    <w:rsid w:val="00844C69"/>
    <w:rsid w:val="00844CE2"/>
    <w:rsid w:val="008450B7"/>
    <w:rsid w:val="008455F4"/>
    <w:rsid w:val="0084589D"/>
    <w:rsid w:val="00845A92"/>
    <w:rsid w:val="00845DA4"/>
    <w:rsid w:val="00845F51"/>
    <w:rsid w:val="00846106"/>
    <w:rsid w:val="008461D9"/>
    <w:rsid w:val="00846467"/>
    <w:rsid w:val="00846604"/>
    <w:rsid w:val="00846661"/>
    <w:rsid w:val="00846AC4"/>
    <w:rsid w:val="00846C77"/>
    <w:rsid w:val="00846E99"/>
    <w:rsid w:val="00846F79"/>
    <w:rsid w:val="008473B5"/>
    <w:rsid w:val="00847699"/>
    <w:rsid w:val="00847991"/>
    <w:rsid w:val="00847C4E"/>
    <w:rsid w:val="00847F69"/>
    <w:rsid w:val="0085052D"/>
    <w:rsid w:val="00850660"/>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2EA7"/>
    <w:rsid w:val="00853753"/>
    <w:rsid w:val="00853C45"/>
    <w:rsid w:val="00853CEE"/>
    <w:rsid w:val="00853DC5"/>
    <w:rsid w:val="00854090"/>
    <w:rsid w:val="008540C8"/>
    <w:rsid w:val="00854983"/>
    <w:rsid w:val="00854A91"/>
    <w:rsid w:val="00854BCA"/>
    <w:rsid w:val="00854E0E"/>
    <w:rsid w:val="00854E93"/>
    <w:rsid w:val="008553CC"/>
    <w:rsid w:val="00855501"/>
    <w:rsid w:val="008559DB"/>
    <w:rsid w:val="00856301"/>
    <w:rsid w:val="008564E7"/>
    <w:rsid w:val="0085677B"/>
    <w:rsid w:val="008569DF"/>
    <w:rsid w:val="00856D2B"/>
    <w:rsid w:val="00856E4A"/>
    <w:rsid w:val="00857165"/>
    <w:rsid w:val="0085722A"/>
    <w:rsid w:val="008572C0"/>
    <w:rsid w:val="008572C6"/>
    <w:rsid w:val="008574C8"/>
    <w:rsid w:val="00857532"/>
    <w:rsid w:val="00857686"/>
    <w:rsid w:val="00857A7D"/>
    <w:rsid w:val="00857C34"/>
    <w:rsid w:val="008600FD"/>
    <w:rsid w:val="0086012C"/>
    <w:rsid w:val="0086037F"/>
    <w:rsid w:val="008604E6"/>
    <w:rsid w:val="00860650"/>
    <w:rsid w:val="0086067F"/>
    <w:rsid w:val="008609D3"/>
    <w:rsid w:val="00860BAC"/>
    <w:rsid w:val="008611A3"/>
    <w:rsid w:val="008611AE"/>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1E4"/>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304"/>
    <w:rsid w:val="008678F0"/>
    <w:rsid w:val="00867E3C"/>
    <w:rsid w:val="00870018"/>
    <w:rsid w:val="00870112"/>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E68"/>
    <w:rsid w:val="00877FA3"/>
    <w:rsid w:val="008804C9"/>
    <w:rsid w:val="00880978"/>
    <w:rsid w:val="008809F4"/>
    <w:rsid w:val="00880D84"/>
    <w:rsid w:val="00880E95"/>
    <w:rsid w:val="008810DF"/>
    <w:rsid w:val="008810FA"/>
    <w:rsid w:val="0088112B"/>
    <w:rsid w:val="008812E1"/>
    <w:rsid w:val="0088164D"/>
    <w:rsid w:val="00881842"/>
    <w:rsid w:val="00881F28"/>
    <w:rsid w:val="0088228A"/>
    <w:rsid w:val="008823C1"/>
    <w:rsid w:val="008825EC"/>
    <w:rsid w:val="0088274A"/>
    <w:rsid w:val="008829DC"/>
    <w:rsid w:val="00882BB1"/>
    <w:rsid w:val="00882BC9"/>
    <w:rsid w:val="00882FE1"/>
    <w:rsid w:val="00883004"/>
    <w:rsid w:val="00883006"/>
    <w:rsid w:val="008835DF"/>
    <w:rsid w:val="00883936"/>
    <w:rsid w:val="008839FE"/>
    <w:rsid w:val="00883ED6"/>
    <w:rsid w:val="00884125"/>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4D9E"/>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8E"/>
    <w:rsid w:val="008A3898"/>
    <w:rsid w:val="008A3B2A"/>
    <w:rsid w:val="008A40C1"/>
    <w:rsid w:val="008A42D8"/>
    <w:rsid w:val="008A457F"/>
    <w:rsid w:val="008A4AE7"/>
    <w:rsid w:val="008A4DAC"/>
    <w:rsid w:val="008A4E04"/>
    <w:rsid w:val="008A53C3"/>
    <w:rsid w:val="008A5619"/>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049"/>
    <w:rsid w:val="008B12F9"/>
    <w:rsid w:val="008B130E"/>
    <w:rsid w:val="008B1651"/>
    <w:rsid w:val="008B175A"/>
    <w:rsid w:val="008B182D"/>
    <w:rsid w:val="008B18CE"/>
    <w:rsid w:val="008B2014"/>
    <w:rsid w:val="008B2052"/>
    <w:rsid w:val="008B21F5"/>
    <w:rsid w:val="008B240A"/>
    <w:rsid w:val="008B256A"/>
    <w:rsid w:val="008B2608"/>
    <w:rsid w:val="008B269F"/>
    <w:rsid w:val="008B29A1"/>
    <w:rsid w:val="008B2A2E"/>
    <w:rsid w:val="008B2AB2"/>
    <w:rsid w:val="008B2D1D"/>
    <w:rsid w:val="008B2DEB"/>
    <w:rsid w:val="008B2F59"/>
    <w:rsid w:val="008B30DE"/>
    <w:rsid w:val="008B3642"/>
    <w:rsid w:val="008B3B77"/>
    <w:rsid w:val="008B3C1D"/>
    <w:rsid w:val="008B3E81"/>
    <w:rsid w:val="008B41EF"/>
    <w:rsid w:val="008B4230"/>
    <w:rsid w:val="008B447F"/>
    <w:rsid w:val="008B44A9"/>
    <w:rsid w:val="008B4A4A"/>
    <w:rsid w:val="008B4B0D"/>
    <w:rsid w:val="008B4B33"/>
    <w:rsid w:val="008B4C93"/>
    <w:rsid w:val="008B4D6D"/>
    <w:rsid w:val="008B4E67"/>
    <w:rsid w:val="008B5448"/>
    <w:rsid w:val="008B5577"/>
    <w:rsid w:val="008B55A6"/>
    <w:rsid w:val="008B60ED"/>
    <w:rsid w:val="008B66CB"/>
    <w:rsid w:val="008B6E5C"/>
    <w:rsid w:val="008B7715"/>
    <w:rsid w:val="008B79C8"/>
    <w:rsid w:val="008B7C22"/>
    <w:rsid w:val="008B7C8C"/>
    <w:rsid w:val="008C05B8"/>
    <w:rsid w:val="008C0881"/>
    <w:rsid w:val="008C0A5B"/>
    <w:rsid w:val="008C0B0A"/>
    <w:rsid w:val="008C0F03"/>
    <w:rsid w:val="008C1161"/>
    <w:rsid w:val="008C1557"/>
    <w:rsid w:val="008C15C4"/>
    <w:rsid w:val="008C1876"/>
    <w:rsid w:val="008C1EF6"/>
    <w:rsid w:val="008C2236"/>
    <w:rsid w:val="008C2426"/>
    <w:rsid w:val="008C2453"/>
    <w:rsid w:val="008C26B4"/>
    <w:rsid w:val="008C2767"/>
    <w:rsid w:val="008C2A47"/>
    <w:rsid w:val="008C30A5"/>
    <w:rsid w:val="008C4179"/>
    <w:rsid w:val="008C46C4"/>
    <w:rsid w:val="008C4B47"/>
    <w:rsid w:val="008C570A"/>
    <w:rsid w:val="008C59D5"/>
    <w:rsid w:val="008C5B10"/>
    <w:rsid w:val="008C5EEA"/>
    <w:rsid w:val="008C5F0D"/>
    <w:rsid w:val="008C61A7"/>
    <w:rsid w:val="008C6780"/>
    <w:rsid w:val="008C6970"/>
    <w:rsid w:val="008C698E"/>
    <w:rsid w:val="008C6C7A"/>
    <w:rsid w:val="008C6D19"/>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32F1"/>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4F"/>
    <w:rsid w:val="008E1FDF"/>
    <w:rsid w:val="008E2051"/>
    <w:rsid w:val="008E20D6"/>
    <w:rsid w:val="008E20EC"/>
    <w:rsid w:val="008E2248"/>
    <w:rsid w:val="008E2523"/>
    <w:rsid w:val="008E2562"/>
    <w:rsid w:val="008E27D0"/>
    <w:rsid w:val="008E2887"/>
    <w:rsid w:val="008E2B47"/>
    <w:rsid w:val="008E2FAD"/>
    <w:rsid w:val="008E3095"/>
    <w:rsid w:val="008E335D"/>
    <w:rsid w:val="008E349D"/>
    <w:rsid w:val="008E367F"/>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BF2"/>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A22"/>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09"/>
    <w:rsid w:val="00904E71"/>
    <w:rsid w:val="00905055"/>
    <w:rsid w:val="00905111"/>
    <w:rsid w:val="00905A06"/>
    <w:rsid w:val="00905A56"/>
    <w:rsid w:val="00905AC0"/>
    <w:rsid w:val="00905B5D"/>
    <w:rsid w:val="00905C05"/>
    <w:rsid w:val="00905F49"/>
    <w:rsid w:val="00906100"/>
    <w:rsid w:val="0090650B"/>
    <w:rsid w:val="009067B8"/>
    <w:rsid w:val="0090680B"/>
    <w:rsid w:val="00906BCE"/>
    <w:rsid w:val="00906EED"/>
    <w:rsid w:val="00907071"/>
    <w:rsid w:val="0090715C"/>
    <w:rsid w:val="00907862"/>
    <w:rsid w:val="0090797E"/>
    <w:rsid w:val="00907BEE"/>
    <w:rsid w:val="00910628"/>
    <w:rsid w:val="00910874"/>
    <w:rsid w:val="009108A7"/>
    <w:rsid w:val="00910D81"/>
    <w:rsid w:val="00910FDB"/>
    <w:rsid w:val="0091135E"/>
    <w:rsid w:val="00911565"/>
    <w:rsid w:val="009116AB"/>
    <w:rsid w:val="0091181E"/>
    <w:rsid w:val="00911A5A"/>
    <w:rsid w:val="00911B21"/>
    <w:rsid w:val="00911E1A"/>
    <w:rsid w:val="0091225D"/>
    <w:rsid w:val="009123B9"/>
    <w:rsid w:val="00912A63"/>
    <w:rsid w:val="00912A81"/>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A4"/>
    <w:rsid w:val="009216BF"/>
    <w:rsid w:val="009218C8"/>
    <w:rsid w:val="009218D2"/>
    <w:rsid w:val="00921A44"/>
    <w:rsid w:val="00921A74"/>
    <w:rsid w:val="00921C9F"/>
    <w:rsid w:val="00921D1B"/>
    <w:rsid w:val="00921E04"/>
    <w:rsid w:val="00921E20"/>
    <w:rsid w:val="00921ED5"/>
    <w:rsid w:val="00921FA1"/>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67"/>
    <w:rsid w:val="00925357"/>
    <w:rsid w:val="00925812"/>
    <w:rsid w:val="00925836"/>
    <w:rsid w:val="0092591F"/>
    <w:rsid w:val="00925B66"/>
    <w:rsid w:val="00925DD1"/>
    <w:rsid w:val="00925E3D"/>
    <w:rsid w:val="00925F3C"/>
    <w:rsid w:val="00925F71"/>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18"/>
    <w:rsid w:val="009305AF"/>
    <w:rsid w:val="0093063D"/>
    <w:rsid w:val="00930A2E"/>
    <w:rsid w:val="0093101C"/>
    <w:rsid w:val="0093135E"/>
    <w:rsid w:val="009313BE"/>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7BD"/>
    <w:rsid w:val="009348AD"/>
    <w:rsid w:val="0093492B"/>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1FB"/>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8ED"/>
    <w:rsid w:val="009479E5"/>
    <w:rsid w:val="009503E5"/>
    <w:rsid w:val="009503ED"/>
    <w:rsid w:val="00950781"/>
    <w:rsid w:val="009509D7"/>
    <w:rsid w:val="00950B09"/>
    <w:rsid w:val="00950DD1"/>
    <w:rsid w:val="00950FFB"/>
    <w:rsid w:val="0095130F"/>
    <w:rsid w:val="00951417"/>
    <w:rsid w:val="0095154C"/>
    <w:rsid w:val="009515A8"/>
    <w:rsid w:val="009516FD"/>
    <w:rsid w:val="0095183E"/>
    <w:rsid w:val="00951995"/>
    <w:rsid w:val="00951C7E"/>
    <w:rsid w:val="00951CF6"/>
    <w:rsid w:val="0095245C"/>
    <w:rsid w:val="00952548"/>
    <w:rsid w:val="009525E8"/>
    <w:rsid w:val="00952661"/>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9A"/>
    <w:rsid w:val="009612F1"/>
    <w:rsid w:val="00961685"/>
    <w:rsid w:val="009616FA"/>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3FD0"/>
    <w:rsid w:val="009642F3"/>
    <w:rsid w:val="00964594"/>
    <w:rsid w:val="009645E1"/>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46"/>
    <w:rsid w:val="00967BCA"/>
    <w:rsid w:val="00967D2D"/>
    <w:rsid w:val="00970622"/>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3E85"/>
    <w:rsid w:val="00984206"/>
    <w:rsid w:val="00984C8E"/>
    <w:rsid w:val="00984DF6"/>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057"/>
    <w:rsid w:val="009915AE"/>
    <w:rsid w:val="00991660"/>
    <w:rsid w:val="009917F3"/>
    <w:rsid w:val="00991A83"/>
    <w:rsid w:val="00991D83"/>
    <w:rsid w:val="00991EA6"/>
    <w:rsid w:val="00991F39"/>
    <w:rsid w:val="00992417"/>
    <w:rsid w:val="00992624"/>
    <w:rsid w:val="00992792"/>
    <w:rsid w:val="009927C4"/>
    <w:rsid w:val="00992E8F"/>
    <w:rsid w:val="00992F72"/>
    <w:rsid w:val="00993075"/>
    <w:rsid w:val="009930C0"/>
    <w:rsid w:val="0099312E"/>
    <w:rsid w:val="0099324C"/>
    <w:rsid w:val="00993627"/>
    <w:rsid w:val="0099367D"/>
    <w:rsid w:val="009936E8"/>
    <w:rsid w:val="009936F0"/>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7CA"/>
    <w:rsid w:val="009978F1"/>
    <w:rsid w:val="009979D6"/>
    <w:rsid w:val="00997B79"/>
    <w:rsid w:val="00997CA3"/>
    <w:rsid w:val="00997EDC"/>
    <w:rsid w:val="00997F3A"/>
    <w:rsid w:val="009A0120"/>
    <w:rsid w:val="009A0212"/>
    <w:rsid w:val="009A0281"/>
    <w:rsid w:val="009A031F"/>
    <w:rsid w:val="009A0C1F"/>
    <w:rsid w:val="009A0F38"/>
    <w:rsid w:val="009A1238"/>
    <w:rsid w:val="009A12A5"/>
    <w:rsid w:val="009A1473"/>
    <w:rsid w:val="009A1DFF"/>
    <w:rsid w:val="009A2121"/>
    <w:rsid w:val="009A2144"/>
    <w:rsid w:val="009A2213"/>
    <w:rsid w:val="009A246A"/>
    <w:rsid w:val="009A25A1"/>
    <w:rsid w:val="009A26A9"/>
    <w:rsid w:val="009A278F"/>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B7C"/>
    <w:rsid w:val="009B6C7D"/>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520B"/>
    <w:rsid w:val="009C5785"/>
    <w:rsid w:val="009C5874"/>
    <w:rsid w:val="009C596C"/>
    <w:rsid w:val="009C5B33"/>
    <w:rsid w:val="009C5C98"/>
    <w:rsid w:val="009C6768"/>
    <w:rsid w:val="009C6894"/>
    <w:rsid w:val="009C69C1"/>
    <w:rsid w:val="009C6AAA"/>
    <w:rsid w:val="009C6B3B"/>
    <w:rsid w:val="009C6B72"/>
    <w:rsid w:val="009C6B7B"/>
    <w:rsid w:val="009C6E93"/>
    <w:rsid w:val="009C73C4"/>
    <w:rsid w:val="009C75CC"/>
    <w:rsid w:val="009C75E2"/>
    <w:rsid w:val="009C7B79"/>
    <w:rsid w:val="009C7CE4"/>
    <w:rsid w:val="009C7F47"/>
    <w:rsid w:val="009D0169"/>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478"/>
    <w:rsid w:val="009D4523"/>
    <w:rsid w:val="009D478C"/>
    <w:rsid w:val="009D49A4"/>
    <w:rsid w:val="009D4A8E"/>
    <w:rsid w:val="009D4DA3"/>
    <w:rsid w:val="009D4F83"/>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6"/>
    <w:rsid w:val="009E3A0C"/>
    <w:rsid w:val="009E3C31"/>
    <w:rsid w:val="009E3CA1"/>
    <w:rsid w:val="009E4414"/>
    <w:rsid w:val="009E44ED"/>
    <w:rsid w:val="009E457F"/>
    <w:rsid w:val="009E4E06"/>
    <w:rsid w:val="009E4FCC"/>
    <w:rsid w:val="009E50D4"/>
    <w:rsid w:val="009E5656"/>
    <w:rsid w:val="009E5AB4"/>
    <w:rsid w:val="009E5CEF"/>
    <w:rsid w:val="009E641D"/>
    <w:rsid w:val="009E6445"/>
    <w:rsid w:val="009E696D"/>
    <w:rsid w:val="009E6A64"/>
    <w:rsid w:val="009E6FBA"/>
    <w:rsid w:val="009E6FC8"/>
    <w:rsid w:val="009E7482"/>
    <w:rsid w:val="009E7A65"/>
    <w:rsid w:val="009E7A89"/>
    <w:rsid w:val="009E7E9B"/>
    <w:rsid w:val="009F0258"/>
    <w:rsid w:val="009F02E1"/>
    <w:rsid w:val="009F056D"/>
    <w:rsid w:val="009F0679"/>
    <w:rsid w:val="009F079C"/>
    <w:rsid w:val="009F07FC"/>
    <w:rsid w:val="009F0992"/>
    <w:rsid w:val="009F0C24"/>
    <w:rsid w:val="009F0CD1"/>
    <w:rsid w:val="009F0ED4"/>
    <w:rsid w:val="009F1737"/>
    <w:rsid w:val="009F187B"/>
    <w:rsid w:val="009F1933"/>
    <w:rsid w:val="009F1F85"/>
    <w:rsid w:val="009F20E6"/>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7E"/>
    <w:rsid w:val="00A02C96"/>
    <w:rsid w:val="00A02D52"/>
    <w:rsid w:val="00A02FBC"/>
    <w:rsid w:val="00A030E9"/>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D27"/>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0D84"/>
    <w:rsid w:val="00A2104B"/>
    <w:rsid w:val="00A210E9"/>
    <w:rsid w:val="00A21296"/>
    <w:rsid w:val="00A21469"/>
    <w:rsid w:val="00A215E8"/>
    <w:rsid w:val="00A218AE"/>
    <w:rsid w:val="00A21A3D"/>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67D"/>
    <w:rsid w:val="00A2585A"/>
    <w:rsid w:val="00A258BF"/>
    <w:rsid w:val="00A25C9D"/>
    <w:rsid w:val="00A261E4"/>
    <w:rsid w:val="00A263A3"/>
    <w:rsid w:val="00A265D9"/>
    <w:rsid w:val="00A26815"/>
    <w:rsid w:val="00A26883"/>
    <w:rsid w:val="00A268E5"/>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2E67"/>
    <w:rsid w:val="00A3331F"/>
    <w:rsid w:val="00A3393A"/>
    <w:rsid w:val="00A33B63"/>
    <w:rsid w:val="00A33B97"/>
    <w:rsid w:val="00A34005"/>
    <w:rsid w:val="00A340AA"/>
    <w:rsid w:val="00A34685"/>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9"/>
    <w:rsid w:val="00A37E52"/>
    <w:rsid w:val="00A37F40"/>
    <w:rsid w:val="00A40285"/>
    <w:rsid w:val="00A404B5"/>
    <w:rsid w:val="00A40531"/>
    <w:rsid w:val="00A40660"/>
    <w:rsid w:val="00A4075B"/>
    <w:rsid w:val="00A411A6"/>
    <w:rsid w:val="00A41821"/>
    <w:rsid w:val="00A41C5C"/>
    <w:rsid w:val="00A41EF0"/>
    <w:rsid w:val="00A42099"/>
    <w:rsid w:val="00A422A2"/>
    <w:rsid w:val="00A42659"/>
    <w:rsid w:val="00A428BF"/>
    <w:rsid w:val="00A42ACB"/>
    <w:rsid w:val="00A42C1E"/>
    <w:rsid w:val="00A4339C"/>
    <w:rsid w:val="00A436BA"/>
    <w:rsid w:val="00A4392A"/>
    <w:rsid w:val="00A43C5D"/>
    <w:rsid w:val="00A4424E"/>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47EF8"/>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BFB"/>
    <w:rsid w:val="00A54D16"/>
    <w:rsid w:val="00A54E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8CA"/>
    <w:rsid w:val="00A62953"/>
    <w:rsid w:val="00A63092"/>
    <w:rsid w:val="00A631AB"/>
    <w:rsid w:val="00A63244"/>
    <w:rsid w:val="00A63481"/>
    <w:rsid w:val="00A6367F"/>
    <w:rsid w:val="00A6383A"/>
    <w:rsid w:val="00A63872"/>
    <w:rsid w:val="00A63A35"/>
    <w:rsid w:val="00A63A37"/>
    <w:rsid w:val="00A63C62"/>
    <w:rsid w:val="00A63CC4"/>
    <w:rsid w:val="00A640CC"/>
    <w:rsid w:val="00A64196"/>
    <w:rsid w:val="00A6443A"/>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673"/>
    <w:rsid w:val="00A65776"/>
    <w:rsid w:val="00A65788"/>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2D9"/>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9F4"/>
    <w:rsid w:val="00A80220"/>
    <w:rsid w:val="00A80229"/>
    <w:rsid w:val="00A806D6"/>
    <w:rsid w:val="00A80892"/>
    <w:rsid w:val="00A80D7F"/>
    <w:rsid w:val="00A8135C"/>
    <w:rsid w:val="00A81633"/>
    <w:rsid w:val="00A81694"/>
    <w:rsid w:val="00A816F3"/>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41A"/>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2FF5"/>
    <w:rsid w:val="00A93394"/>
    <w:rsid w:val="00A934FE"/>
    <w:rsid w:val="00A93800"/>
    <w:rsid w:val="00A938E5"/>
    <w:rsid w:val="00A93942"/>
    <w:rsid w:val="00A93B58"/>
    <w:rsid w:val="00A93BDA"/>
    <w:rsid w:val="00A93E34"/>
    <w:rsid w:val="00A93FAE"/>
    <w:rsid w:val="00A94012"/>
    <w:rsid w:val="00A94863"/>
    <w:rsid w:val="00A94A70"/>
    <w:rsid w:val="00A94AAF"/>
    <w:rsid w:val="00A94BB8"/>
    <w:rsid w:val="00A94F90"/>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A9E"/>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D0D"/>
    <w:rsid w:val="00AA6F21"/>
    <w:rsid w:val="00AA6F9A"/>
    <w:rsid w:val="00AA7BBD"/>
    <w:rsid w:val="00AA7BCC"/>
    <w:rsid w:val="00AA7C4F"/>
    <w:rsid w:val="00AB001C"/>
    <w:rsid w:val="00AB02C8"/>
    <w:rsid w:val="00AB0432"/>
    <w:rsid w:val="00AB05BC"/>
    <w:rsid w:val="00AB0695"/>
    <w:rsid w:val="00AB06B8"/>
    <w:rsid w:val="00AB06E6"/>
    <w:rsid w:val="00AB0887"/>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946"/>
    <w:rsid w:val="00AB5ABC"/>
    <w:rsid w:val="00AB5AED"/>
    <w:rsid w:val="00AB5CCC"/>
    <w:rsid w:val="00AB61AE"/>
    <w:rsid w:val="00AB642C"/>
    <w:rsid w:val="00AB644A"/>
    <w:rsid w:val="00AB6458"/>
    <w:rsid w:val="00AB6C41"/>
    <w:rsid w:val="00AB6CA0"/>
    <w:rsid w:val="00AB76D5"/>
    <w:rsid w:val="00AB7787"/>
    <w:rsid w:val="00AB78AC"/>
    <w:rsid w:val="00AB7913"/>
    <w:rsid w:val="00AB7A08"/>
    <w:rsid w:val="00AB7C36"/>
    <w:rsid w:val="00AB7C81"/>
    <w:rsid w:val="00AB7D38"/>
    <w:rsid w:val="00AC0048"/>
    <w:rsid w:val="00AC0169"/>
    <w:rsid w:val="00AC01EA"/>
    <w:rsid w:val="00AC0B0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3E26"/>
    <w:rsid w:val="00AC45D6"/>
    <w:rsid w:val="00AC4688"/>
    <w:rsid w:val="00AC4803"/>
    <w:rsid w:val="00AC4D1B"/>
    <w:rsid w:val="00AC4D53"/>
    <w:rsid w:val="00AC4D9E"/>
    <w:rsid w:val="00AC4E2E"/>
    <w:rsid w:val="00AC5146"/>
    <w:rsid w:val="00AC5C2A"/>
    <w:rsid w:val="00AC5D62"/>
    <w:rsid w:val="00AC61B3"/>
    <w:rsid w:val="00AC63F4"/>
    <w:rsid w:val="00AC6786"/>
    <w:rsid w:val="00AC6A5F"/>
    <w:rsid w:val="00AC6BC5"/>
    <w:rsid w:val="00AC6C8D"/>
    <w:rsid w:val="00AC71E5"/>
    <w:rsid w:val="00AC7470"/>
    <w:rsid w:val="00AC78FC"/>
    <w:rsid w:val="00AC7DE9"/>
    <w:rsid w:val="00AD026E"/>
    <w:rsid w:val="00AD02E0"/>
    <w:rsid w:val="00AD06A9"/>
    <w:rsid w:val="00AD0967"/>
    <w:rsid w:val="00AD12BD"/>
    <w:rsid w:val="00AD163D"/>
    <w:rsid w:val="00AD1860"/>
    <w:rsid w:val="00AD1A8F"/>
    <w:rsid w:val="00AD1B21"/>
    <w:rsid w:val="00AD1D26"/>
    <w:rsid w:val="00AD1DFE"/>
    <w:rsid w:val="00AD1F06"/>
    <w:rsid w:val="00AD1F5E"/>
    <w:rsid w:val="00AD1FDB"/>
    <w:rsid w:val="00AD227B"/>
    <w:rsid w:val="00AD231F"/>
    <w:rsid w:val="00AD23E9"/>
    <w:rsid w:val="00AD284F"/>
    <w:rsid w:val="00AD288C"/>
    <w:rsid w:val="00AD2ACB"/>
    <w:rsid w:val="00AD2D2A"/>
    <w:rsid w:val="00AD2D40"/>
    <w:rsid w:val="00AD2D96"/>
    <w:rsid w:val="00AD3042"/>
    <w:rsid w:val="00AD3047"/>
    <w:rsid w:val="00AD30B7"/>
    <w:rsid w:val="00AD31A9"/>
    <w:rsid w:val="00AD326D"/>
    <w:rsid w:val="00AD32CD"/>
    <w:rsid w:val="00AD33C3"/>
    <w:rsid w:val="00AD343B"/>
    <w:rsid w:val="00AD34A1"/>
    <w:rsid w:val="00AD35CD"/>
    <w:rsid w:val="00AD379F"/>
    <w:rsid w:val="00AD3935"/>
    <w:rsid w:val="00AD3AD4"/>
    <w:rsid w:val="00AD3BEC"/>
    <w:rsid w:val="00AD4396"/>
    <w:rsid w:val="00AD4597"/>
    <w:rsid w:val="00AD45BD"/>
    <w:rsid w:val="00AD48F9"/>
    <w:rsid w:val="00AD491A"/>
    <w:rsid w:val="00AD4922"/>
    <w:rsid w:val="00AD4B55"/>
    <w:rsid w:val="00AD4C34"/>
    <w:rsid w:val="00AD4D1D"/>
    <w:rsid w:val="00AD5699"/>
    <w:rsid w:val="00AD57E1"/>
    <w:rsid w:val="00AD5CA3"/>
    <w:rsid w:val="00AD5FD0"/>
    <w:rsid w:val="00AD60BF"/>
    <w:rsid w:val="00AD68F1"/>
    <w:rsid w:val="00AD6980"/>
    <w:rsid w:val="00AD6C7F"/>
    <w:rsid w:val="00AD6FA5"/>
    <w:rsid w:val="00AD70C9"/>
    <w:rsid w:val="00AD7142"/>
    <w:rsid w:val="00AD7214"/>
    <w:rsid w:val="00AD732B"/>
    <w:rsid w:val="00AD75A6"/>
    <w:rsid w:val="00AD7927"/>
    <w:rsid w:val="00AD7BD3"/>
    <w:rsid w:val="00AD7D17"/>
    <w:rsid w:val="00AD7E17"/>
    <w:rsid w:val="00AE0160"/>
    <w:rsid w:val="00AE0332"/>
    <w:rsid w:val="00AE03CD"/>
    <w:rsid w:val="00AE0D23"/>
    <w:rsid w:val="00AE0E9E"/>
    <w:rsid w:val="00AE14B7"/>
    <w:rsid w:val="00AE1907"/>
    <w:rsid w:val="00AE19D1"/>
    <w:rsid w:val="00AE1BCC"/>
    <w:rsid w:val="00AE1D19"/>
    <w:rsid w:val="00AE1EB0"/>
    <w:rsid w:val="00AE2205"/>
    <w:rsid w:val="00AE232B"/>
    <w:rsid w:val="00AE26F5"/>
    <w:rsid w:val="00AE280D"/>
    <w:rsid w:val="00AE2968"/>
    <w:rsid w:val="00AE2AD4"/>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4BA"/>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D6D"/>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A5B"/>
    <w:rsid w:val="00B00D62"/>
    <w:rsid w:val="00B010D3"/>
    <w:rsid w:val="00B01AC3"/>
    <w:rsid w:val="00B01CC2"/>
    <w:rsid w:val="00B01D0E"/>
    <w:rsid w:val="00B01F0D"/>
    <w:rsid w:val="00B02014"/>
    <w:rsid w:val="00B0224E"/>
    <w:rsid w:val="00B0226D"/>
    <w:rsid w:val="00B023FC"/>
    <w:rsid w:val="00B02A4C"/>
    <w:rsid w:val="00B02AD0"/>
    <w:rsid w:val="00B02CD3"/>
    <w:rsid w:val="00B030BD"/>
    <w:rsid w:val="00B03101"/>
    <w:rsid w:val="00B0326E"/>
    <w:rsid w:val="00B039CE"/>
    <w:rsid w:val="00B03BA1"/>
    <w:rsid w:val="00B03BB8"/>
    <w:rsid w:val="00B03D26"/>
    <w:rsid w:val="00B03D30"/>
    <w:rsid w:val="00B03EE3"/>
    <w:rsid w:val="00B04145"/>
    <w:rsid w:val="00B049FA"/>
    <w:rsid w:val="00B04AD7"/>
    <w:rsid w:val="00B04D36"/>
    <w:rsid w:val="00B04F11"/>
    <w:rsid w:val="00B0540A"/>
    <w:rsid w:val="00B05688"/>
    <w:rsid w:val="00B057AE"/>
    <w:rsid w:val="00B0588E"/>
    <w:rsid w:val="00B05A44"/>
    <w:rsid w:val="00B063A5"/>
    <w:rsid w:val="00B064C3"/>
    <w:rsid w:val="00B0654F"/>
    <w:rsid w:val="00B06771"/>
    <w:rsid w:val="00B06B4F"/>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6B7"/>
    <w:rsid w:val="00B11882"/>
    <w:rsid w:val="00B11E29"/>
    <w:rsid w:val="00B1222E"/>
    <w:rsid w:val="00B12714"/>
    <w:rsid w:val="00B1295A"/>
    <w:rsid w:val="00B12A8C"/>
    <w:rsid w:val="00B12FD0"/>
    <w:rsid w:val="00B13003"/>
    <w:rsid w:val="00B1304C"/>
    <w:rsid w:val="00B13358"/>
    <w:rsid w:val="00B13407"/>
    <w:rsid w:val="00B137BE"/>
    <w:rsid w:val="00B13829"/>
    <w:rsid w:val="00B13E71"/>
    <w:rsid w:val="00B13F1F"/>
    <w:rsid w:val="00B1417B"/>
    <w:rsid w:val="00B14251"/>
    <w:rsid w:val="00B14344"/>
    <w:rsid w:val="00B1478D"/>
    <w:rsid w:val="00B147CC"/>
    <w:rsid w:val="00B147D9"/>
    <w:rsid w:val="00B14996"/>
    <w:rsid w:val="00B14C4F"/>
    <w:rsid w:val="00B15033"/>
    <w:rsid w:val="00B15141"/>
    <w:rsid w:val="00B151C6"/>
    <w:rsid w:val="00B15366"/>
    <w:rsid w:val="00B15386"/>
    <w:rsid w:val="00B157D8"/>
    <w:rsid w:val="00B158B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246"/>
    <w:rsid w:val="00B25585"/>
    <w:rsid w:val="00B2571D"/>
    <w:rsid w:val="00B25A0E"/>
    <w:rsid w:val="00B25A70"/>
    <w:rsid w:val="00B25BD8"/>
    <w:rsid w:val="00B25C69"/>
    <w:rsid w:val="00B25E1D"/>
    <w:rsid w:val="00B25E7C"/>
    <w:rsid w:val="00B25F9A"/>
    <w:rsid w:val="00B2613A"/>
    <w:rsid w:val="00B263BE"/>
    <w:rsid w:val="00B2643E"/>
    <w:rsid w:val="00B266DF"/>
    <w:rsid w:val="00B269CE"/>
    <w:rsid w:val="00B26AA3"/>
    <w:rsid w:val="00B2733E"/>
    <w:rsid w:val="00B27409"/>
    <w:rsid w:val="00B2745D"/>
    <w:rsid w:val="00B2757B"/>
    <w:rsid w:val="00B277A0"/>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700"/>
    <w:rsid w:val="00B42851"/>
    <w:rsid w:val="00B42879"/>
    <w:rsid w:val="00B429E7"/>
    <w:rsid w:val="00B42BD9"/>
    <w:rsid w:val="00B42DB9"/>
    <w:rsid w:val="00B42FDB"/>
    <w:rsid w:val="00B430D3"/>
    <w:rsid w:val="00B4314E"/>
    <w:rsid w:val="00B4371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99A"/>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12C"/>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3F41"/>
    <w:rsid w:val="00B5426B"/>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1F9"/>
    <w:rsid w:val="00B612C0"/>
    <w:rsid w:val="00B6156C"/>
    <w:rsid w:val="00B619AF"/>
    <w:rsid w:val="00B61B85"/>
    <w:rsid w:val="00B61CFF"/>
    <w:rsid w:val="00B61F08"/>
    <w:rsid w:val="00B61F70"/>
    <w:rsid w:val="00B6237B"/>
    <w:rsid w:val="00B62894"/>
    <w:rsid w:val="00B62A18"/>
    <w:rsid w:val="00B62DB4"/>
    <w:rsid w:val="00B63463"/>
    <w:rsid w:val="00B63478"/>
    <w:rsid w:val="00B637DB"/>
    <w:rsid w:val="00B637F9"/>
    <w:rsid w:val="00B63870"/>
    <w:rsid w:val="00B63951"/>
    <w:rsid w:val="00B63EDD"/>
    <w:rsid w:val="00B640AB"/>
    <w:rsid w:val="00B64124"/>
    <w:rsid w:val="00B64305"/>
    <w:rsid w:val="00B64398"/>
    <w:rsid w:val="00B64484"/>
    <w:rsid w:val="00B644FE"/>
    <w:rsid w:val="00B645F8"/>
    <w:rsid w:val="00B64A44"/>
    <w:rsid w:val="00B64E64"/>
    <w:rsid w:val="00B651D7"/>
    <w:rsid w:val="00B6529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69F"/>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BC8"/>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E8"/>
    <w:rsid w:val="00B95372"/>
    <w:rsid w:val="00B954FC"/>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A8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079"/>
    <w:rsid w:val="00BB1286"/>
    <w:rsid w:val="00BB1639"/>
    <w:rsid w:val="00BB1710"/>
    <w:rsid w:val="00BB1810"/>
    <w:rsid w:val="00BB18C3"/>
    <w:rsid w:val="00BB1B8D"/>
    <w:rsid w:val="00BB1C4F"/>
    <w:rsid w:val="00BB20E7"/>
    <w:rsid w:val="00BB225D"/>
    <w:rsid w:val="00BB24D3"/>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B4E"/>
    <w:rsid w:val="00BC2B85"/>
    <w:rsid w:val="00BC2BC7"/>
    <w:rsid w:val="00BC2F28"/>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483"/>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876"/>
    <w:rsid w:val="00BD1A13"/>
    <w:rsid w:val="00BD1B6F"/>
    <w:rsid w:val="00BD238C"/>
    <w:rsid w:val="00BD2397"/>
    <w:rsid w:val="00BD2A08"/>
    <w:rsid w:val="00BD2F55"/>
    <w:rsid w:val="00BD3491"/>
    <w:rsid w:val="00BD3589"/>
    <w:rsid w:val="00BD3837"/>
    <w:rsid w:val="00BD385B"/>
    <w:rsid w:val="00BD386B"/>
    <w:rsid w:val="00BD3B33"/>
    <w:rsid w:val="00BD3C69"/>
    <w:rsid w:val="00BD3D14"/>
    <w:rsid w:val="00BD3D7A"/>
    <w:rsid w:val="00BD3E27"/>
    <w:rsid w:val="00BD4355"/>
    <w:rsid w:val="00BD438C"/>
    <w:rsid w:val="00BD44F6"/>
    <w:rsid w:val="00BD4A64"/>
    <w:rsid w:val="00BD4AA0"/>
    <w:rsid w:val="00BD4DF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9FC"/>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E6"/>
    <w:rsid w:val="00BF071B"/>
    <w:rsid w:val="00BF08F9"/>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1B"/>
    <w:rsid w:val="00BF31CB"/>
    <w:rsid w:val="00BF3520"/>
    <w:rsid w:val="00BF3AE6"/>
    <w:rsid w:val="00BF3BEE"/>
    <w:rsid w:val="00BF3C10"/>
    <w:rsid w:val="00BF46F1"/>
    <w:rsid w:val="00BF488A"/>
    <w:rsid w:val="00BF4923"/>
    <w:rsid w:val="00BF4B69"/>
    <w:rsid w:val="00BF4C0B"/>
    <w:rsid w:val="00BF5350"/>
    <w:rsid w:val="00BF536F"/>
    <w:rsid w:val="00BF55D0"/>
    <w:rsid w:val="00BF5623"/>
    <w:rsid w:val="00BF56A8"/>
    <w:rsid w:val="00BF5EBA"/>
    <w:rsid w:val="00BF60E3"/>
    <w:rsid w:val="00BF620A"/>
    <w:rsid w:val="00BF6597"/>
    <w:rsid w:val="00BF6760"/>
    <w:rsid w:val="00BF6A8A"/>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B94"/>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58A"/>
    <w:rsid w:val="00C07A6C"/>
    <w:rsid w:val="00C07AE3"/>
    <w:rsid w:val="00C07AE4"/>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02"/>
    <w:rsid w:val="00C140FE"/>
    <w:rsid w:val="00C14346"/>
    <w:rsid w:val="00C14691"/>
    <w:rsid w:val="00C14A47"/>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41C"/>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5FE3"/>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266"/>
    <w:rsid w:val="00C337EC"/>
    <w:rsid w:val="00C339DE"/>
    <w:rsid w:val="00C33AA7"/>
    <w:rsid w:val="00C33DCE"/>
    <w:rsid w:val="00C33DFC"/>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CB9"/>
    <w:rsid w:val="00C36DAD"/>
    <w:rsid w:val="00C37050"/>
    <w:rsid w:val="00C37108"/>
    <w:rsid w:val="00C371C7"/>
    <w:rsid w:val="00C37E49"/>
    <w:rsid w:val="00C37F8D"/>
    <w:rsid w:val="00C4018E"/>
    <w:rsid w:val="00C404B1"/>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6F9D"/>
    <w:rsid w:val="00C470AA"/>
    <w:rsid w:val="00C47A73"/>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3B"/>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15B7"/>
    <w:rsid w:val="00C72232"/>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39A"/>
    <w:rsid w:val="00C754D3"/>
    <w:rsid w:val="00C755E8"/>
    <w:rsid w:val="00C75970"/>
    <w:rsid w:val="00C75AC4"/>
    <w:rsid w:val="00C75C9D"/>
    <w:rsid w:val="00C75CC6"/>
    <w:rsid w:val="00C75D4F"/>
    <w:rsid w:val="00C76952"/>
    <w:rsid w:val="00C7731D"/>
    <w:rsid w:val="00C77426"/>
    <w:rsid w:val="00C778FA"/>
    <w:rsid w:val="00C7799E"/>
    <w:rsid w:val="00C77B97"/>
    <w:rsid w:val="00C80441"/>
    <w:rsid w:val="00C80503"/>
    <w:rsid w:val="00C80547"/>
    <w:rsid w:val="00C80DB5"/>
    <w:rsid w:val="00C80F45"/>
    <w:rsid w:val="00C8149D"/>
    <w:rsid w:val="00C81860"/>
    <w:rsid w:val="00C8198E"/>
    <w:rsid w:val="00C81B30"/>
    <w:rsid w:val="00C81DEA"/>
    <w:rsid w:val="00C820DE"/>
    <w:rsid w:val="00C8220B"/>
    <w:rsid w:val="00C82387"/>
    <w:rsid w:val="00C823D0"/>
    <w:rsid w:val="00C82C27"/>
    <w:rsid w:val="00C82D70"/>
    <w:rsid w:val="00C82E95"/>
    <w:rsid w:val="00C831C1"/>
    <w:rsid w:val="00C831FC"/>
    <w:rsid w:val="00C83634"/>
    <w:rsid w:val="00C836C8"/>
    <w:rsid w:val="00C83947"/>
    <w:rsid w:val="00C8395C"/>
    <w:rsid w:val="00C839CF"/>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73C"/>
    <w:rsid w:val="00C8781D"/>
    <w:rsid w:val="00C878E9"/>
    <w:rsid w:val="00C87AF9"/>
    <w:rsid w:val="00C9006C"/>
    <w:rsid w:val="00C901A9"/>
    <w:rsid w:val="00C9047A"/>
    <w:rsid w:val="00C90572"/>
    <w:rsid w:val="00C905AC"/>
    <w:rsid w:val="00C90698"/>
    <w:rsid w:val="00C90B43"/>
    <w:rsid w:val="00C90C65"/>
    <w:rsid w:val="00C90C82"/>
    <w:rsid w:val="00C90DDC"/>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4E46"/>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B1E"/>
    <w:rsid w:val="00CA2C56"/>
    <w:rsid w:val="00CA33C0"/>
    <w:rsid w:val="00CA3429"/>
    <w:rsid w:val="00CA3CBC"/>
    <w:rsid w:val="00CA400D"/>
    <w:rsid w:val="00CA40B3"/>
    <w:rsid w:val="00CA44AA"/>
    <w:rsid w:val="00CA46F7"/>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0C4"/>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1FFB"/>
    <w:rsid w:val="00CC2161"/>
    <w:rsid w:val="00CC228C"/>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2CA"/>
    <w:rsid w:val="00CD2585"/>
    <w:rsid w:val="00CD2737"/>
    <w:rsid w:val="00CD283A"/>
    <w:rsid w:val="00CD2E91"/>
    <w:rsid w:val="00CD309B"/>
    <w:rsid w:val="00CD3122"/>
    <w:rsid w:val="00CD325D"/>
    <w:rsid w:val="00CD3372"/>
    <w:rsid w:val="00CD3421"/>
    <w:rsid w:val="00CD35BA"/>
    <w:rsid w:val="00CD3804"/>
    <w:rsid w:val="00CD3B07"/>
    <w:rsid w:val="00CD3B91"/>
    <w:rsid w:val="00CD3B95"/>
    <w:rsid w:val="00CD3C3B"/>
    <w:rsid w:val="00CD3D0C"/>
    <w:rsid w:val="00CD3D4B"/>
    <w:rsid w:val="00CD3F09"/>
    <w:rsid w:val="00CD3FAF"/>
    <w:rsid w:val="00CD47C6"/>
    <w:rsid w:val="00CD492B"/>
    <w:rsid w:val="00CD499A"/>
    <w:rsid w:val="00CD49CD"/>
    <w:rsid w:val="00CD4A92"/>
    <w:rsid w:val="00CD4B06"/>
    <w:rsid w:val="00CD4B93"/>
    <w:rsid w:val="00CD4DF7"/>
    <w:rsid w:val="00CD52E0"/>
    <w:rsid w:val="00CD5786"/>
    <w:rsid w:val="00CD58DB"/>
    <w:rsid w:val="00CD5ADA"/>
    <w:rsid w:val="00CD5AED"/>
    <w:rsid w:val="00CD5C02"/>
    <w:rsid w:val="00CD5F80"/>
    <w:rsid w:val="00CD5FC8"/>
    <w:rsid w:val="00CD61E3"/>
    <w:rsid w:val="00CD67C5"/>
    <w:rsid w:val="00CD67D7"/>
    <w:rsid w:val="00CD6823"/>
    <w:rsid w:val="00CD6D63"/>
    <w:rsid w:val="00CD6E0B"/>
    <w:rsid w:val="00CD72C1"/>
    <w:rsid w:val="00CD777C"/>
    <w:rsid w:val="00CD787F"/>
    <w:rsid w:val="00CD7A86"/>
    <w:rsid w:val="00CD7BA8"/>
    <w:rsid w:val="00CD7C0F"/>
    <w:rsid w:val="00CE025E"/>
    <w:rsid w:val="00CE030D"/>
    <w:rsid w:val="00CE03B6"/>
    <w:rsid w:val="00CE05F2"/>
    <w:rsid w:val="00CE06EF"/>
    <w:rsid w:val="00CE07A9"/>
    <w:rsid w:val="00CE07EB"/>
    <w:rsid w:val="00CE0C38"/>
    <w:rsid w:val="00CE0C51"/>
    <w:rsid w:val="00CE0CBF"/>
    <w:rsid w:val="00CE0D1B"/>
    <w:rsid w:val="00CE0F04"/>
    <w:rsid w:val="00CE0F12"/>
    <w:rsid w:val="00CE0F1B"/>
    <w:rsid w:val="00CE112E"/>
    <w:rsid w:val="00CE1225"/>
    <w:rsid w:val="00CE132D"/>
    <w:rsid w:val="00CE143E"/>
    <w:rsid w:val="00CE17D9"/>
    <w:rsid w:val="00CE19F2"/>
    <w:rsid w:val="00CE1C27"/>
    <w:rsid w:val="00CE1E82"/>
    <w:rsid w:val="00CE1F9B"/>
    <w:rsid w:val="00CE24D6"/>
    <w:rsid w:val="00CE253D"/>
    <w:rsid w:val="00CE2CB5"/>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6FB4"/>
    <w:rsid w:val="00CE71CB"/>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09C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0DA"/>
    <w:rsid w:val="00CF41AE"/>
    <w:rsid w:val="00CF444A"/>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EE4"/>
    <w:rsid w:val="00D00FCA"/>
    <w:rsid w:val="00D0132A"/>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01E"/>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25"/>
    <w:rsid w:val="00D078A7"/>
    <w:rsid w:val="00D078A9"/>
    <w:rsid w:val="00D078C9"/>
    <w:rsid w:val="00D07D73"/>
    <w:rsid w:val="00D07DCA"/>
    <w:rsid w:val="00D07E5F"/>
    <w:rsid w:val="00D1023A"/>
    <w:rsid w:val="00D10781"/>
    <w:rsid w:val="00D1094D"/>
    <w:rsid w:val="00D10A14"/>
    <w:rsid w:val="00D10A81"/>
    <w:rsid w:val="00D10E22"/>
    <w:rsid w:val="00D110E3"/>
    <w:rsid w:val="00D110E9"/>
    <w:rsid w:val="00D1121C"/>
    <w:rsid w:val="00D11243"/>
    <w:rsid w:val="00D11672"/>
    <w:rsid w:val="00D11823"/>
    <w:rsid w:val="00D11873"/>
    <w:rsid w:val="00D118C7"/>
    <w:rsid w:val="00D11A3A"/>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D9D"/>
    <w:rsid w:val="00D1624D"/>
    <w:rsid w:val="00D1655E"/>
    <w:rsid w:val="00D1705C"/>
    <w:rsid w:val="00D17731"/>
    <w:rsid w:val="00D17869"/>
    <w:rsid w:val="00D1792B"/>
    <w:rsid w:val="00D17F37"/>
    <w:rsid w:val="00D202D3"/>
    <w:rsid w:val="00D205E4"/>
    <w:rsid w:val="00D20758"/>
    <w:rsid w:val="00D20837"/>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556"/>
    <w:rsid w:val="00D238C7"/>
    <w:rsid w:val="00D23A1F"/>
    <w:rsid w:val="00D23B89"/>
    <w:rsid w:val="00D23CC7"/>
    <w:rsid w:val="00D23CE2"/>
    <w:rsid w:val="00D242B1"/>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68F"/>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123"/>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21"/>
    <w:rsid w:val="00D37637"/>
    <w:rsid w:val="00D37670"/>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183"/>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984"/>
    <w:rsid w:val="00D46ADC"/>
    <w:rsid w:val="00D46EF6"/>
    <w:rsid w:val="00D46F2D"/>
    <w:rsid w:val="00D471EF"/>
    <w:rsid w:val="00D47407"/>
    <w:rsid w:val="00D475CC"/>
    <w:rsid w:val="00D477E2"/>
    <w:rsid w:val="00D4785C"/>
    <w:rsid w:val="00D47A34"/>
    <w:rsid w:val="00D47EDA"/>
    <w:rsid w:val="00D5044A"/>
    <w:rsid w:val="00D50C82"/>
    <w:rsid w:val="00D50E5C"/>
    <w:rsid w:val="00D50F95"/>
    <w:rsid w:val="00D5102A"/>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E0D"/>
    <w:rsid w:val="00D53FED"/>
    <w:rsid w:val="00D540D3"/>
    <w:rsid w:val="00D54370"/>
    <w:rsid w:val="00D5438E"/>
    <w:rsid w:val="00D54628"/>
    <w:rsid w:val="00D54806"/>
    <w:rsid w:val="00D549BD"/>
    <w:rsid w:val="00D54C59"/>
    <w:rsid w:val="00D54D88"/>
    <w:rsid w:val="00D5521C"/>
    <w:rsid w:val="00D554E6"/>
    <w:rsid w:val="00D555BF"/>
    <w:rsid w:val="00D55723"/>
    <w:rsid w:val="00D55B68"/>
    <w:rsid w:val="00D55BD5"/>
    <w:rsid w:val="00D55C37"/>
    <w:rsid w:val="00D560FF"/>
    <w:rsid w:val="00D56330"/>
    <w:rsid w:val="00D563C2"/>
    <w:rsid w:val="00D56608"/>
    <w:rsid w:val="00D56649"/>
    <w:rsid w:val="00D56810"/>
    <w:rsid w:val="00D56C31"/>
    <w:rsid w:val="00D56D65"/>
    <w:rsid w:val="00D572B2"/>
    <w:rsid w:val="00D577B1"/>
    <w:rsid w:val="00D57C20"/>
    <w:rsid w:val="00D57F0A"/>
    <w:rsid w:val="00D57F9F"/>
    <w:rsid w:val="00D6000B"/>
    <w:rsid w:val="00D60207"/>
    <w:rsid w:val="00D602C9"/>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AC4"/>
    <w:rsid w:val="00D62243"/>
    <w:rsid w:val="00D62588"/>
    <w:rsid w:val="00D6278F"/>
    <w:rsid w:val="00D62821"/>
    <w:rsid w:val="00D62949"/>
    <w:rsid w:val="00D629D3"/>
    <w:rsid w:val="00D62DEC"/>
    <w:rsid w:val="00D62E00"/>
    <w:rsid w:val="00D63439"/>
    <w:rsid w:val="00D635DF"/>
    <w:rsid w:val="00D63740"/>
    <w:rsid w:val="00D63BAD"/>
    <w:rsid w:val="00D63E4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5E6F"/>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1F1D"/>
    <w:rsid w:val="00D72265"/>
    <w:rsid w:val="00D72BDC"/>
    <w:rsid w:val="00D72CEF"/>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0F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6B"/>
    <w:rsid w:val="00D800A1"/>
    <w:rsid w:val="00D8036A"/>
    <w:rsid w:val="00D805F0"/>
    <w:rsid w:val="00D805FA"/>
    <w:rsid w:val="00D80AB8"/>
    <w:rsid w:val="00D80AFE"/>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40D"/>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940"/>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448"/>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533"/>
    <w:rsid w:val="00D96AD5"/>
    <w:rsid w:val="00D9739F"/>
    <w:rsid w:val="00D97663"/>
    <w:rsid w:val="00D9785A"/>
    <w:rsid w:val="00D9793D"/>
    <w:rsid w:val="00D97D08"/>
    <w:rsid w:val="00D97D54"/>
    <w:rsid w:val="00D97E86"/>
    <w:rsid w:val="00DA000D"/>
    <w:rsid w:val="00DA015E"/>
    <w:rsid w:val="00DA0293"/>
    <w:rsid w:val="00DA02EC"/>
    <w:rsid w:val="00DA0F67"/>
    <w:rsid w:val="00DA0FC0"/>
    <w:rsid w:val="00DA10F6"/>
    <w:rsid w:val="00DA1D80"/>
    <w:rsid w:val="00DA1EEB"/>
    <w:rsid w:val="00DA2046"/>
    <w:rsid w:val="00DA2185"/>
    <w:rsid w:val="00DA2280"/>
    <w:rsid w:val="00DA23D2"/>
    <w:rsid w:val="00DA24FA"/>
    <w:rsid w:val="00DA29C4"/>
    <w:rsid w:val="00DA2A62"/>
    <w:rsid w:val="00DA2AFA"/>
    <w:rsid w:val="00DA2D90"/>
    <w:rsid w:val="00DA3A26"/>
    <w:rsid w:val="00DA3B43"/>
    <w:rsid w:val="00DA3B4E"/>
    <w:rsid w:val="00DA3F00"/>
    <w:rsid w:val="00DA419D"/>
    <w:rsid w:val="00DA43CA"/>
    <w:rsid w:val="00DA4458"/>
    <w:rsid w:val="00DA4562"/>
    <w:rsid w:val="00DA492A"/>
    <w:rsid w:val="00DA49D8"/>
    <w:rsid w:val="00DA4D6E"/>
    <w:rsid w:val="00DA5159"/>
    <w:rsid w:val="00DA53CD"/>
    <w:rsid w:val="00DA55E7"/>
    <w:rsid w:val="00DA5640"/>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5FE"/>
    <w:rsid w:val="00DB36EA"/>
    <w:rsid w:val="00DB3719"/>
    <w:rsid w:val="00DB3952"/>
    <w:rsid w:val="00DB39DE"/>
    <w:rsid w:val="00DB3D0B"/>
    <w:rsid w:val="00DB3D52"/>
    <w:rsid w:val="00DB3F56"/>
    <w:rsid w:val="00DB42C3"/>
    <w:rsid w:val="00DB4322"/>
    <w:rsid w:val="00DB452C"/>
    <w:rsid w:val="00DB4A73"/>
    <w:rsid w:val="00DB4DB2"/>
    <w:rsid w:val="00DB4F9D"/>
    <w:rsid w:val="00DB51CA"/>
    <w:rsid w:val="00DB5913"/>
    <w:rsid w:val="00DB5A21"/>
    <w:rsid w:val="00DB5DEB"/>
    <w:rsid w:val="00DB5EE5"/>
    <w:rsid w:val="00DB603C"/>
    <w:rsid w:val="00DB6143"/>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ADD"/>
    <w:rsid w:val="00DC0F93"/>
    <w:rsid w:val="00DC1157"/>
    <w:rsid w:val="00DC120B"/>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316"/>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20E"/>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5F5"/>
    <w:rsid w:val="00DD2775"/>
    <w:rsid w:val="00DD2A92"/>
    <w:rsid w:val="00DD2FE5"/>
    <w:rsid w:val="00DD32DF"/>
    <w:rsid w:val="00DD3401"/>
    <w:rsid w:val="00DD3430"/>
    <w:rsid w:val="00DD3480"/>
    <w:rsid w:val="00DD3565"/>
    <w:rsid w:val="00DD370F"/>
    <w:rsid w:val="00DD385C"/>
    <w:rsid w:val="00DD3A5A"/>
    <w:rsid w:val="00DD4714"/>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88E"/>
    <w:rsid w:val="00DE0D84"/>
    <w:rsid w:val="00DE110B"/>
    <w:rsid w:val="00DE1194"/>
    <w:rsid w:val="00DE128B"/>
    <w:rsid w:val="00DE1318"/>
    <w:rsid w:val="00DE1772"/>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8A4"/>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631"/>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7D4"/>
    <w:rsid w:val="00DF7898"/>
    <w:rsid w:val="00DF79C8"/>
    <w:rsid w:val="00DF7BC3"/>
    <w:rsid w:val="00E00368"/>
    <w:rsid w:val="00E00529"/>
    <w:rsid w:val="00E005F5"/>
    <w:rsid w:val="00E00A07"/>
    <w:rsid w:val="00E00A54"/>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286"/>
    <w:rsid w:val="00E046C1"/>
    <w:rsid w:val="00E049EC"/>
    <w:rsid w:val="00E04B54"/>
    <w:rsid w:val="00E04BBE"/>
    <w:rsid w:val="00E04ED2"/>
    <w:rsid w:val="00E05065"/>
    <w:rsid w:val="00E05305"/>
    <w:rsid w:val="00E054F3"/>
    <w:rsid w:val="00E05A43"/>
    <w:rsid w:val="00E05C44"/>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48A"/>
    <w:rsid w:val="00E1273A"/>
    <w:rsid w:val="00E12933"/>
    <w:rsid w:val="00E12A5A"/>
    <w:rsid w:val="00E12AF0"/>
    <w:rsid w:val="00E12E5E"/>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3C"/>
    <w:rsid w:val="00E20855"/>
    <w:rsid w:val="00E20862"/>
    <w:rsid w:val="00E20AD1"/>
    <w:rsid w:val="00E214FB"/>
    <w:rsid w:val="00E216A5"/>
    <w:rsid w:val="00E2193A"/>
    <w:rsid w:val="00E21C69"/>
    <w:rsid w:val="00E21DC0"/>
    <w:rsid w:val="00E2205D"/>
    <w:rsid w:val="00E222C6"/>
    <w:rsid w:val="00E224C9"/>
    <w:rsid w:val="00E22556"/>
    <w:rsid w:val="00E22625"/>
    <w:rsid w:val="00E22701"/>
    <w:rsid w:val="00E227D8"/>
    <w:rsid w:val="00E22985"/>
    <w:rsid w:val="00E229F7"/>
    <w:rsid w:val="00E22A10"/>
    <w:rsid w:val="00E22AD8"/>
    <w:rsid w:val="00E22BF5"/>
    <w:rsid w:val="00E22E2F"/>
    <w:rsid w:val="00E22EE3"/>
    <w:rsid w:val="00E22F00"/>
    <w:rsid w:val="00E23224"/>
    <w:rsid w:val="00E23315"/>
    <w:rsid w:val="00E23467"/>
    <w:rsid w:val="00E23496"/>
    <w:rsid w:val="00E23779"/>
    <w:rsid w:val="00E237CC"/>
    <w:rsid w:val="00E23851"/>
    <w:rsid w:val="00E23ACC"/>
    <w:rsid w:val="00E23ADB"/>
    <w:rsid w:val="00E23F96"/>
    <w:rsid w:val="00E241ED"/>
    <w:rsid w:val="00E24553"/>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6EE"/>
    <w:rsid w:val="00E32AD9"/>
    <w:rsid w:val="00E32E0E"/>
    <w:rsid w:val="00E32E96"/>
    <w:rsid w:val="00E3305B"/>
    <w:rsid w:val="00E33391"/>
    <w:rsid w:val="00E334AB"/>
    <w:rsid w:val="00E33506"/>
    <w:rsid w:val="00E33802"/>
    <w:rsid w:val="00E33814"/>
    <w:rsid w:val="00E33969"/>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235"/>
    <w:rsid w:val="00E42532"/>
    <w:rsid w:val="00E4253D"/>
    <w:rsid w:val="00E42D71"/>
    <w:rsid w:val="00E432AE"/>
    <w:rsid w:val="00E434BD"/>
    <w:rsid w:val="00E434D2"/>
    <w:rsid w:val="00E4356E"/>
    <w:rsid w:val="00E43CB4"/>
    <w:rsid w:val="00E43D2C"/>
    <w:rsid w:val="00E43F1E"/>
    <w:rsid w:val="00E43F5A"/>
    <w:rsid w:val="00E44374"/>
    <w:rsid w:val="00E44556"/>
    <w:rsid w:val="00E4466A"/>
    <w:rsid w:val="00E447C4"/>
    <w:rsid w:val="00E447D5"/>
    <w:rsid w:val="00E44B9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938"/>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BB3"/>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B66"/>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20"/>
    <w:rsid w:val="00E76270"/>
    <w:rsid w:val="00E7649F"/>
    <w:rsid w:val="00E76B45"/>
    <w:rsid w:val="00E76E98"/>
    <w:rsid w:val="00E77040"/>
    <w:rsid w:val="00E770A0"/>
    <w:rsid w:val="00E7715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66F"/>
    <w:rsid w:val="00E83B47"/>
    <w:rsid w:val="00E83C49"/>
    <w:rsid w:val="00E83D24"/>
    <w:rsid w:val="00E83E6E"/>
    <w:rsid w:val="00E84110"/>
    <w:rsid w:val="00E8412F"/>
    <w:rsid w:val="00E8433B"/>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0D8"/>
    <w:rsid w:val="00E90278"/>
    <w:rsid w:val="00E904A7"/>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4F7D"/>
    <w:rsid w:val="00E9556C"/>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3D4"/>
    <w:rsid w:val="00EA475F"/>
    <w:rsid w:val="00EA4A36"/>
    <w:rsid w:val="00EA4ADF"/>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885"/>
    <w:rsid w:val="00EB0CBA"/>
    <w:rsid w:val="00EB11F5"/>
    <w:rsid w:val="00EB1304"/>
    <w:rsid w:val="00EB1705"/>
    <w:rsid w:val="00EB2023"/>
    <w:rsid w:val="00EB2189"/>
    <w:rsid w:val="00EB2360"/>
    <w:rsid w:val="00EB2435"/>
    <w:rsid w:val="00EB269A"/>
    <w:rsid w:val="00EB2814"/>
    <w:rsid w:val="00EB296A"/>
    <w:rsid w:val="00EB29AF"/>
    <w:rsid w:val="00EB2ABE"/>
    <w:rsid w:val="00EB316B"/>
    <w:rsid w:val="00EB31E2"/>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2EF2"/>
    <w:rsid w:val="00EC30FE"/>
    <w:rsid w:val="00EC35AA"/>
    <w:rsid w:val="00EC362E"/>
    <w:rsid w:val="00EC36D3"/>
    <w:rsid w:val="00EC36DD"/>
    <w:rsid w:val="00EC3CA4"/>
    <w:rsid w:val="00EC3E81"/>
    <w:rsid w:val="00EC3EC8"/>
    <w:rsid w:val="00EC44E7"/>
    <w:rsid w:val="00EC4890"/>
    <w:rsid w:val="00EC49AA"/>
    <w:rsid w:val="00EC4D77"/>
    <w:rsid w:val="00EC4D7B"/>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BAF"/>
    <w:rsid w:val="00EE0121"/>
    <w:rsid w:val="00EE01B5"/>
    <w:rsid w:val="00EE0318"/>
    <w:rsid w:val="00EE04FF"/>
    <w:rsid w:val="00EE0663"/>
    <w:rsid w:val="00EE08BC"/>
    <w:rsid w:val="00EE0935"/>
    <w:rsid w:val="00EE09EA"/>
    <w:rsid w:val="00EE0A49"/>
    <w:rsid w:val="00EE0CA1"/>
    <w:rsid w:val="00EE15A8"/>
    <w:rsid w:val="00EE15CA"/>
    <w:rsid w:val="00EE15E9"/>
    <w:rsid w:val="00EE18BB"/>
    <w:rsid w:val="00EE1938"/>
    <w:rsid w:val="00EE19D9"/>
    <w:rsid w:val="00EE1CDA"/>
    <w:rsid w:val="00EE2109"/>
    <w:rsid w:val="00EE24B7"/>
    <w:rsid w:val="00EE26BF"/>
    <w:rsid w:val="00EE289B"/>
    <w:rsid w:val="00EE2AAB"/>
    <w:rsid w:val="00EE2AEF"/>
    <w:rsid w:val="00EE313E"/>
    <w:rsid w:val="00EE3196"/>
    <w:rsid w:val="00EE3203"/>
    <w:rsid w:val="00EE3318"/>
    <w:rsid w:val="00EE339F"/>
    <w:rsid w:val="00EE33A6"/>
    <w:rsid w:val="00EE37E6"/>
    <w:rsid w:val="00EE3B14"/>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40"/>
    <w:rsid w:val="00EF33FC"/>
    <w:rsid w:val="00EF3768"/>
    <w:rsid w:val="00EF3A28"/>
    <w:rsid w:val="00EF3A3D"/>
    <w:rsid w:val="00EF3A4A"/>
    <w:rsid w:val="00EF3BD7"/>
    <w:rsid w:val="00EF3D41"/>
    <w:rsid w:val="00EF3D43"/>
    <w:rsid w:val="00EF3EE0"/>
    <w:rsid w:val="00EF493B"/>
    <w:rsid w:val="00EF49E0"/>
    <w:rsid w:val="00EF4E9F"/>
    <w:rsid w:val="00EF4F3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AD7"/>
    <w:rsid w:val="00F03B1F"/>
    <w:rsid w:val="00F046FD"/>
    <w:rsid w:val="00F04D51"/>
    <w:rsid w:val="00F04E37"/>
    <w:rsid w:val="00F058E3"/>
    <w:rsid w:val="00F05EED"/>
    <w:rsid w:val="00F05F00"/>
    <w:rsid w:val="00F06D38"/>
    <w:rsid w:val="00F06D40"/>
    <w:rsid w:val="00F06F02"/>
    <w:rsid w:val="00F07206"/>
    <w:rsid w:val="00F0730B"/>
    <w:rsid w:val="00F0758C"/>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061"/>
    <w:rsid w:val="00F13242"/>
    <w:rsid w:val="00F13466"/>
    <w:rsid w:val="00F13555"/>
    <w:rsid w:val="00F1390A"/>
    <w:rsid w:val="00F139AE"/>
    <w:rsid w:val="00F13DC6"/>
    <w:rsid w:val="00F1403E"/>
    <w:rsid w:val="00F140FE"/>
    <w:rsid w:val="00F1415B"/>
    <w:rsid w:val="00F14215"/>
    <w:rsid w:val="00F14271"/>
    <w:rsid w:val="00F1447F"/>
    <w:rsid w:val="00F14524"/>
    <w:rsid w:val="00F14605"/>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A97"/>
    <w:rsid w:val="00F20B69"/>
    <w:rsid w:val="00F20C7C"/>
    <w:rsid w:val="00F20CDD"/>
    <w:rsid w:val="00F20D66"/>
    <w:rsid w:val="00F20EF1"/>
    <w:rsid w:val="00F20F5B"/>
    <w:rsid w:val="00F20FE5"/>
    <w:rsid w:val="00F21048"/>
    <w:rsid w:val="00F210AB"/>
    <w:rsid w:val="00F2140E"/>
    <w:rsid w:val="00F2157F"/>
    <w:rsid w:val="00F215ED"/>
    <w:rsid w:val="00F21758"/>
    <w:rsid w:val="00F21857"/>
    <w:rsid w:val="00F2189B"/>
    <w:rsid w:val="00F218EF"/>
    <w:rsid w:val="00F21B8C"/>
    <w:rsid w:val="00F21D5F"/>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AAA"/>
    <w:rsid w:val="00F25C16"/>
    <w:rsid w:val="00F25EB4"/>
    <w:rsid w:val="00F25F62"/>
    <w:rsid w:val="00F2617C"/>
    <w:rsid w:val="00F2643A"/>
    <w:rsid w:val="00F266A1"/>
    <w:rsid w:val="00F26886"/>
    <w:rsid w:val="00F2699C"/>
    <w:rsid w:val="00F26AE1"/>
    <w:rsid w:val="00F26D32"/>
    <w:rsid w:val="00F26F1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5D7"/>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58"/>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4EC2"/>
    <w:rsid w:val="00F5532C"/>
    <w:rsid w:val="00F553D1"/>
    <w:rsid w:val="00F55847"/>
    <w:rsid w:val="00F558E3"/>
    <w:rsid w:val="00F55AC5"/>
    <w:rsid w:val="00F564B4"/>
    <w:rsid w:val="00F56751"/>
    <w:rsid w:val="00F56978"/>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9E9"/>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560"/>
    <w:rsid w:val="00F648A2"/>
    <w:rsid w:val="00F64928"/>
    <w:rsid w:val="00F64966"/>
    <w:rsid w:val="00F64B8E"/>
    <w:rsid w:val="00F64C30"/>
    <w:rsid w:val="00F64F5B"/>
    <w:rsid w:val="00F64FA4"/>
    <w:rsid w:val="00F6515A"/>
    <w:rsid w:val="00F651C1"/>
    <w:rsid w:val="00F65961"/>
    <w:rsid w:val="00F65B2A"/>
    <w:rsid w:val="00F65E59"/>
    <w:rsid w:val="00F65E8A"/>
    <w:rsid w:val="00F65E91"/>
    <w:rsid w:val="00F660B8"/>
    <w:rsid w:val="00F6617D"/>
    <w:rsid w:val="00F66709"/>
    <w:rsid w:val="00F668FA"/>
    <w:rsid w:val="00F669E3"/>
    <w:rsid w:val="00F66AF7"/>
    <w:rsid w:val="00F66D1E"/>
    <w:rsid w:val="00F672EB"/>
    <w:rsid w:val="00F67348"/>
    <w:rsid w:val="00F67493"/>
    <w:rsid w:val="00F6753C"/>
    <w:rsid w:val="00F676B8"/>
    <w:rsid w:val="00F67726"/>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3AE"/>
    <w:rsid w:val="00F757F9"/>
    <w:rsid w:val="00F75911"/>
    <w:rsid w:val="00F7596A"/>
    <w:rsid w:val="00F75C0B"/>
    <w:rsid w:val="00F75E86"/>
    <w:rsid w:val="00F76043"/>
    <w:rsid w:val="00F76291"/>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C27"/>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489"/>
    <w:rsid w:val="00F849D7"/>
    <w:rsid w:val="00F84A2F"/>
    <w:rsid w:val="00F84BAB"/>
    <w:rsid w:val="00F84D93"/>
    <w:rsid w:val="00F850EB"/>
    <w:rsid w:val="00F85520"/>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5DA"/>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80A"/>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175"/>
    <w:rsid w:val="00FA446C"/>
    <w:rsid w:val="00FA4813"/>
    <w:rsid w:val="00FA4A01"/>
    <w:rsid w:val="00FA4C64"/>
    <w:rsid w:val="00FA4E28"/>
    <w:rsid w:val="00FA4E58"/>
    <w:rsid w:val="00FA4EDE"/>
    <w:rsid w:val="00FA50E8"/>
    <w:rsid w:val="00FA526F"/>
    <w:rsid w:val="00FA53C1"/>
    <w:rsid w:val="00FA5527"/>
    <w:rsid w:val="00FA558C"/>
    <w:rsid w:val="00FA5710"/>
    <w:rsid w:val="00FA5871"/>
    <w:rsid w:val="00FA589E"/>
    <w:rsid w:val="00FA5909"/>
    <w:rsid w:val="00FA5A96"/>
    <w:rsid w:val="00FA5F8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073"/>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36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C3B"/>
    <w:rsid w:val="00FC7F93"/>
    <w:rsid w:val="00FD02DD"/>
    <w:rsid w:val="00FD0472"/>
    <w:rsid w:val="00FD0497"/>
    <w:rsid w:val="00FD06C1"/>
    <w:rsid w:val="00FD0783"/>
    <w:rsid w:val="00FD07BC"/>
    <w:rsid w:val="00FD0CE9"/>
    <w:rsid w:val="00FD10D2"/>
    <w:rsid w:val="00FD116E"/>
    <w:rsid w:val="00FD1283"/>
    <w:rsid w:val="00FD1407"/>
    <w:rsid w:val="00FD1643"/>
    <w:rsid w:val="00FD16E9"/>
    <w:rsid w:val="00FD17C7"/>
    <w:rsid w:val="00FD17DF"/>
    <w:rsid w:val="00FD1D7D"/>
    <w:rsid w:val="00FD1DD0"/>
    <w:rsid w:val="00FD205C"/>
    <w:rsid w:val="00FD235B"/>
    <w:rsid w:val="00FD2804"/>
    <w:rsid w:val="00FD282A"/>
    <w:rsid w:val="00FD29A0"/>
    <w:rsid w:val="00FD2A71"/>
    <w:rsid w:val="00FD2BDC"/>
    <w:rsid w:val="00FD3124"/>
    <w:rsid w:val="00FD3613"/>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AF7"/>
    <w:rsid w:val="00FD6F9D"/>
    <w:rsid w:val="00FD72D9"/>
    <w:rsid w:val="00FD73AE"/>
    <w:rsid w:val="00FD7AA4"/>
    <w:rsid w:val="00FD7D6B"/>
    <w:rsid w:val="00FE00DC"/>
    <w:rsid w:val="00FE03B5"/>
    <w:rsid w:val="00FE0477"/>
    <w:rsid w:val="00FE0657"/>
    <w:rsid w:val="00FE0C27"/>
    <w:rsid w:val="00FE11F7"/>
    <w:rsid w:val="00FE15F5"/>
    <w:rsid w:val="00FE1728"/>
    <w:rsid w:val="00FE1766"/>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4FC2"/>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0D6"/>
    <w:rsid w:val="00FF1455"/>
    <w:rsid w:val="00FF1716"/>
    <w:rsid w:val="00FF1920"/>
    <w:rsid w:val="00FF1ACF"/>
    <w:rsid w:val="00FF1B62"/>
    <w:rsid w:val="00FF1DBD"/>
    <w:rsid w:val="00FF202C"/>
    <w:rsid w:val="00FF2A88"/>
    <w:rsid w:val="00FF3446"/>
    <w:rsid w:val="00FF34C5"/>
    <w:rsid w:val="00FF35AB"/>
    <w:rsid w:val="00FF37C5"/>
    <w:rsid w:val="00FF3868"/>
    <w:rsid w:val="00FF3A12"/>
    <w:rsid w:val="00FF3A5A"/>
    <w:rsid w:val="00FF3CFC"/>
    <w:rsid w:val="00FF43AF"/>
    <w:rsid w:val="00FF4404"/>
    <w:rsid w:val="00FF48E0"/>
    <w:rsid w:val="00FF4913"/>
    <w:rsid w:val="00FF5026"/>
    <w:rsid w:val="00FF5173"/>
    <w:rsid w:val="00FF51D0"/>
    <w:rsid w:val="00FF52CC"/>
    <w:rsid w:val="00FF52E3"/>
    <w:rsid w:val="00FF58D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link w:val="B4Char"/>
    <w:qFormat/>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paragraph" w:customStyle="1" w:styleId="Agreement">
    <w:name w:val="Agreement"/>
    <w:basedOn w:val="Normal"/>
    <w:next w:val="Normal"/>
    <w:uiPriority w:val="99"/>
    <w:qFormat/>
    <w:rsid w:val="00FE1766"/>
    <w:pPr>
      <w:numPr>
        <w:numId w:val="9"/>
      </w:numPr>
      <w:overflowPunct/>
      <w:autoSpaceDE/>
      <w:autoSpaceDN/>
      <w:adjustRightInd/>
      <w:spacing w:before="60" w:after="0"/>
      <w:textAlignment w:val="auto"/>
    </w:pPr>
    <w:rPr>
      <w:rFonts w:ascii="Arial" w:eastAsia="MS Mincho" w:hAnsi="Arial"/>
      <w:b/>
      <w:szCs w:val="24"/>
      <w:lang w:val="en-GB" w:eastAsia="en-GB"/>
    </w:rPr>
  </w:style>
  <w:style w:type="table" w:styleId="PlainTable1">
    <w:name w:val="Plain Table 1"/>
    <w:basedOn w:val="TableNormal"/>
    <w:uiPriority w:val="41"/>
    <w:rsid w:val="003576E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C72232"/>
    <w:rPr>
      <w:b/>
      <w:bCs/>
    </w:rPr>
  </w:style>
  <w:style w:type="character" w:customStyle="1" w:styleId="B2Char">
    <w:name w:val="B2 Char"/>
    <w:link w:val="B2"/>
    <w:qFormat/>
    <w:rsid w:val="00484EA7"/>
    <w:rPr>
      <w:rFonts w:ascii="Times New Roman" w:hAnsi="Times New Roman"/>
      <w:lang w:eastAsia="en-US"/>
    </w:rPr>
  </w:style>
  <w:style w:type="character" w:customStyle="1" w:styleId="B3Char">
    <w:name w:val="B3 Char"/>
    <w:link w:val="B3"/>
    <w:qFormat/>
    <w:rsid w:val="00484EA7"/>
    <w:rPr>
      <w:rFonts w:ascii="Times New Roman" w:hAnsi="Times New Roman"/>
      <w:lang w:eastAsia="en-US"/>
    </w:rPr>
  </w:style>
  <w:style w:type="character" w:customStyle="1" w:styleId="B4Char">
    <w:name w:val="B4 Char"/>
    <w:link w:val="B4"/>
    <w:qFormat/>
    <w:rsid w:val="00484E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413693">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27025688">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366375723">
      <w:bodyDiv w:val="1"/>
      <w:marLeft w:val="0"/>
      <w:marRight w:val="0"/>
      <w:marTop w:val="0"/>
      <w:marBottom w:val="0"/>
      <w:divBdr>
        <w:top w:val="none" w:sz="0" w:space="0" w:color="auto"/>
        <w:left w:val="none" w:sz="0" w:space="0" w:color="auto"/>
        <w:bottom w:val="none" w:sz="0" w:space="0" w:color="auto"/>
        <w:right w:val="none" w:sz="0" w:space="0" w:color="auto"/>
      </w:divBdr>
      <w:divsChild>
        <w:div w:id="246547874">
          <w:marLeft w:val="547"/>
          <w:marRight w:val="0"/>
          <w:marTop w:val="0"/>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014914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370129">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4605039">
      <w:bodyDiv w:val="1"/>
      <w:marLeft w:val="0"/>
      <w:marRight w:val="0"/>
      <w:marTop w:val="0"/>
      <w:marBottom w:val="0"/>
      <w:divBdr>
        <w:top w:val="none" w:sz="0" w:space="0" w:color="auto"/>
        <w:left w:val="none" w:sz="0" w:space="0" w:color="auto"/>
        <w:bottom w:val="none" w:sz="0" w:space="0" w:color="auto"/>
        <w:right w:val="none" w:sz="0" w:space="0" w:color="auto"/>
      </w:divBdr>
      <w:divsChild>
        <w:div w:id="18360792">
          <w:marLeft w:val="547"/>
          <w:marRight w:val="0"/>
          <w:marTop w:val="0"/>
          <w:marBottom w:val="0"/>
          <w:divBdr>
            <w:top w:val="none" w:sz="0" w:space="0" w:color="auto"/>
            <w:left w:val="none" w:sz="0" w:space="0" w:color="auto"/>
            <w:bottom w:val="none" w:sz="0" w:space="0" w:color="auto"/>
            <w:right w:val="none" w:sz="0" w:space="0" w:color="auto"/>
          </w:divBdr>
        </w:div>
        <w:div w:id="1650792833">
          <w:marLeft w:val="547"/>
          <w:marRight w:val="0"/>
          <w:marTop w:val="0"/>
          <w:marBottom w:val="0"/>
          <w:divBdr>
            <w:top w:val="none" w:sz="0" w:space="0" w:color="auto"/>
            <w:left w:val="none" w:sz="0" w:space="0" w:color="auto"/>
            <w:bottom w:val="none" w:sz="0" w:space="0" w:color="auto"/>
            <w:right w:val="none" w:sz="0" w:space="0" w:color="auto"/>
          </w:divBdr>
        </w:div>
        <w:div w:id="715086013">
          <w:marLeft w:val="1166"/>
          <w:marRight w:val="0"/>
          <w:marTop w:val="0"/>
          <w:marBottom w:val="0"/>
          <w:divBdr>
            <w:top w:val="none" w:sz="0" w:space="0" w:color="auto"/>
            <w:left w:val="none" w:sz="0" w:space="0" w:color="auto"/>
            <w:bottom w:val="none" w:sz="0" w:space="0" w:color="auto"/>
            <w:right w:val="none" w:sz="0" w:space="0" w:color="auto"/>
          </w:divBdr>
        </w:div>
        <w:div w:id="1696031658">
          <w:marLeft w:val="1166"/>
          <w:marRight w:val="0"/>
          <w:marTop w:val="0"/>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381350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04349443">
      <w:bodyDiv w:val="1"/>
      <w:marLeft w:val="0"/>
      <w:marRight w:val="0"/>
      <w:marTop w:val="0"/>
      <w:marBottom w:val="0"/>
      <w:divBdr>
        <w:top w:val="none" w:sz="0" w:space="0" w:color="auto"/>
        <w:left w:val="none" w:sz="0" w:space="0" w:color="auto"/>
        <w:bottom w:val="none" w:sz="0" w:space="0" w:color="auto"/>
        <w:right w:val="none" w:sz="0" w:space="0" w:color="auto"/>
      </w:divBdr>
      <w:divsChild>
        <w:div w:id="469783854">
          <w:marLeft w:val="547"/>
          <w:marRight w:val="0"/>
          <w:marTop w:val="0"/>
          <w:marBottom w:val="0"/>
          <w:divBdr>
            <w:top w:val="none" w:sz="0" w:space="0" w:color="auto"/>
            <w:left w:val="none" w:sz="0" w:space="0" w:color="auto"/>
            <w:bottom w:val="none" w:sz="0" w:space="0" w:color="auto"/>
            <w:right w:val="none" w:sz="0" w:space="0" w:color="auto"/>
          </w:divBdr>
        </w:div>
        <w:div w:id="327245525">
          <w:marLeft w:val="547"/>
          <w:marRight w:val="0"/>
          <w:marTop w:val="0"/>
          <w:marBottom w:val="0"/>
          <w:divBdr>
            <w:top w:val="none" w:sz="0" w:space="0" w:color="auto"/>
            <w:left w:val="none" w:sz="0" w:space="0" w:color="auto"/>
            <w:bottom w:val="none" w:sz="0" w:space="0" w:color="auto"/>
            <w:right w:val="none" w:sz="0" w:space="0" w:color="auto"/>
          </w:divBdr>
        </w:div>
        <w:div w:id="870343917">
          <w:marLeft w:val="1166"/>
          <w:marRight w:val="0"/>
          <w:marTop w:val="0"/>
          <w:marBottom w:val="0"/>
          <w:divBdr>
            <w:top w:val="none" w:sz="0" w:space="0" w:color="auto"/>
            <w:left w:val="none" w:sz="0" w:space="0" w:color="auto"/>
            <w:bottom w:val="none" w:sz="0" w:space="0" w:color="auto"/>
            <w:right w:val="none" w:sz="0" w:space="0" w:color="auto"/>
          </w:divBdr>
        </w:div>
        <w:div w:id="122395165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69505</TotalTime>
  <Pages>6</Pages>
  <Words>2290</Words>
  <Characters>13054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3123</cp:revision>
  <cp:lastPrinted>2014-11-07T05:38:00Z</cp:lastPrinted>
  <dcterms:created xsi:type="dcterms:W3CDTF">2018-08-11T00:58:00Z</dcterms:created>
  <dcterms:modified xsi:type="dcterms:W3CDTF">2023-11-03T16:49:00Z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